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7562850" cy="817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8172450"/>
                    </a:xfrm>
                    <a:prstGeom prst="rect">
                      <a:avLst/>
                    </a:prstGeom>
                  </pic:spPr>
                </pic:pic>
              </a:graphicData>
            </a:graphic>
          </wp:inline>
        </w:drawing>
      </w:r>
    </w:p>
    <w:p>
      <w:pPr>
        <w:spacing w:after="60" w:before="400"/>
        <w:ind w:left="1200"/>
      </w:pPr>
      <w:r>
        <w:rPr>
          <w:color w:val="6B7280"/>
          <w:sz w:val="22"/>
          <w:szCs w:val="22"/>
        </w:rPr>
        <w:t xml:space="preserve">Projet de groupe · 3e année · Octobre 2026</w:t>
      </w:r>
    </w:p>
    <w:p>
      <w:pPr>
        <w:spacing w:after="60"/>
        <w:ind w:left="1200"/>
        <w:sectPr>
          <w:pgSz w:w="11906" w:h="16838" w:orient="portrait"/>
          <w:pgMar w:top="0" w:right="0" w:bottom="0" w:left="0" w:header="0" w:footer="0" w:gutter="0"/>
          <w:pgNumType/>
          <w:docGrid w:linePitch="360"/>
        </w:sectPr>
      </w:pPr>
      <w:r>
        <w:rPr>
          <w:b/>
          <w:bCs/>
          <w:color w:val="1E1B4B"/>
          <w:sz w:val="22"/>
          <w:szCs w:val="22"/>
        </w:rPr>
        <w:t xml:space="preserve">Équipe : </w:t>
      </w:r>
      <w:r>
        <w:rPr>
          <w:color w:val="1E1B4B"/>
          <w:sz w:val="22"/>
          <w:szCs w:val="22"/>
        </w:rPr>
        <w:t xml:space="preserve">[Nom 1] · [Nom 2] · [Nom 3] · [Nom 4] · [Nom 5]</w:t>
      </w:r>
    </w:p>
    <w:p>
      <w:pPr>
        <w:spacing w:after="300"/>
      </w:pPr>
      <w:r>
        <w:rPr>
          <w:b/>
          <w:bCs/>
          <w:color w:val="1E1B4B"/>
          <w:sz w:val="48"/>
          <w:szCs w:val="48"/>
        </w:rPr>
        <w:t xml:space="preserve">Sommaire</w:t>
      </w:r>
    </w:p>
    <w:sdt>
      <w:sdtPr>
        <w:alias w:val="Sommaire"/>
      </w:sdtPr>
      <w:sdtContent>
        <w:p>
          <w:pPr>
            <w:pStyle w:val="TOC1"/>
            <w:tabs>
              <w:tab w:val="right" w:pos="9026" w:leader="dot"/>
            </w:tabs>
          </w:pPr>
          <w:r>
            <w:fldChar w:fldCharType="begin" w:dirty="true"/>
            <w:instrText xml:space="preserve">TOC \h \o "1-1"</w:instrText>
            <w:fldChar w:fldCharType="separate"/>
          </w:r>
          <w:hyperlink w:history="1" w:anchor="_Toc1">
            <w:r>
              <w:t xml:space="preserve">Moodly en un coup d’œil</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Contexte et problème</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Le concept : Le Miroir</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Utilisateurs et besoins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L’expérience</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Plus-values et différenciation</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Éthique, anonymat et adoption</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Stack technique et architecture</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Analyse SWOT</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Organisation et planning</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Et après le MVP ?</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Compétences mobilisées</w:t>
            </w:r>
            <w:r>
              <w:tab/>
            </w:r>
            <w:r>
              <w:fldChar w:fldCharType="begin" w:dirty="true"/>
              <w:instrText xml:space="preserve">PAGEREF _Toc12 \h</w:instrText>
              <w:fldChar w:fldCharType="separate"/>
              <w:fldChar w:fldCharType="end"/>
            </w:r>
          </w:hyperlink>
        </w:p>
        <w:p>
          <w:r>
            <w:fldChar w:fldCharType="end"/>
          </w:r>
        </w:p>
      </w:sdtContent>
    </w:sdt>
    <w:p>
      <w:pPr>
        <w:pageBreakBefore/>
        <w:spacing w:after="0"/>
      </w:pPr>
      <w:r>
        <w:rPr>
          <w:b/>
          <w:bCs/>
          <w:color w:val="C7D2FE"/>
          <w:sz w:val="72"/>
          <w:szCs w:val="72"/>
        </w:rPr>
        <w:t xml:space="preserve">01</w:t>
      </w:r>
    </w:p>
    <w:p>
      <w:pPr>
        <w:pStyle w:val="Heading1"/>
      </w:pPr>
      <w:bookmarkStart w:name="_Toc1" w:id="1"/>
      <w:r>
        <w:t xml:space="preserve">Moodly en un coup d’œil</w:t>
      </w:r>
      <w:bookmarkEnd w:id="1"/>
    </w:p>
    <w:p>
      <w:pPr>
        <w:pBdr>
          <w:bottom w:val="single" w:color="E0E7FF" w:sz="6" w:space="10"/>
        </w:pBdr>
        <w:spacing w:after="280"/>
      </w:pPr>
      <w:r>
        <w:rPr>
          <w:i/>
          <w:iCs/>
          <w:color w:val="6B7280"/>
          <w:sz w:val="24"/>
          <w:szCs w:val="24"/>
        </w:rPr>
        <w:t xml:space="preserve">Tout le projet sur une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4F46E5" w:sz="36"/>
              <w:bottom w:val="none" w:color="FFFFFF" w:sz="0"/>
              <w:right w:val="none" w:color="FFFFFF" w:sz="0"/>
            </w:tcBorders>
            <w:shd w:fill="EEF2FF" w:color="auto" w:val="clear"/>
            <w:tcMar>
              <w:top w:type="dxa" w:w="180"/>
              <w:left w:type="dxa" w:w="300"/>
              <w:bottom w:type="dxa" w:w="180"/>
              <w:right w:type="dxa" w:w="260"/>
            </w:tcMar>
          </w:tcPr>
          <w:p>
            <w:pPr>
              <w:spacing w:after="80"/>
            </w:pPr>
            <w:r>
              <w:rPr>
                <w:b/>
                <w:bCs/>
                <w:color w:val="4F46E5"/>
                <w:spacing w:val="30"/>
                <w:sz w:val="18"/>
                <w:szCs w:val="18"/>
              </w:rPr>
              <w:t xml:space="preserve">LE PITCH</w:t>
            </w:r>
          </w:p>
          <w:p>
            <w:pPr>
              <w:spacing w:after="60" w:line="300"/>
            </w:pPr>
            <w:r>
              <w:rPr>
                <w:sz w:val="28"/>
                <w:szCs w:val="28"/>
              </w:rPr>
              <w:t xml:space="preserve">« Moodly ne mesure pas seulement le moral de l’équipe. Il mesure l’aveuglement du management, sans jamais pouvoir identifier personne. »</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FFFFFF" w:sz="4"/>
              <w:left w:val="single" w:color="FFFFFF" w:sz="48"/>
              <w:bottom w:val="single" w:color="FFFFFF" w:sz="48"/>
              <w:right w:val="single" w:color="FFFFFF" w:sz="48"/>
            </w:tcBorders>
            <w:shd w:fill="FFE4E6" w:color="auto" w:val="clear"/>
            <w:tcMar>
              <w:top w:type="dxa" w:w="200"/>
              <w:left w:type="dxa" w:w="240"/>
              <w:bottom w:type="dxa" w:w="200"/>
              <w:right w:type="dxa" w:w="240"/>
            </w:tcMar>
          </w:tcPr>
          <w:p>
            <w:pPr>
              <w:spacing w:after="60"/>
            </w:pPr>
            <w:r>
              <w:rPr>
                <w:b/>
                <w:bCs/>
                <w:color w:val="BE123C"/>
                <w:spacing w:val="30"/>
                <w:sz w:val="17"/>
                <w:szCs w:val="17"/>
              </w:rPr>
              <w:t xml:space="preserve">LE PROBLÈME</w:t>
            </w:r>
          </w:p>
          <w:p>
            <w:pPr>
              <w:spacing w:after="80"/>
            </w:pPr>
            <w:r>
              <w:rPr>
                <w:b/>
                <w:bCs/>
                <w:color w:val="1E1B4B"/>
                <w:sz w:val="26"/>
                <w:szCs w:val="26"/>
              </w:rPr>
              <w:t xml:space="preserve">La détresse est invisible</w:t>
            </w:r>
          </w:p>
          <w:p>
            <w:pPr>
              <w:spacing w:after="40" w:line="276"/>
            </w:pPr>
            <w:r>
              <w:rPr>
                <w:sz w:val="20"/>
                <w:szCs w:val="20"/>
              </w:rPr>
              <w:t xml:space="preserve">50 % des salariés estiment que leur entreprise ignore leur détresse. Le burn-out arrive « sans prévenir ».</w:t>
            </w:r>
          </w:p>
        </w:tc>
        <w:tc>
          <w:tcPr>
            <w:tcW w:type="dxa" w:w="4513"/>
            <w:tcBorders>
              <w:top w:val="single" w:color="FFFFFF" w:sz="4"/>
              <w:left w:val="single" w:color="FFFFFF" w:sz="48"/>
              <w:bottom w:val="single" w:color="FFFFFF" w:sz="48"/>
              <w:right w:val="single" w:color="FFFFFF" w:sz="48"/>
            </w:tcBorders>
            <w:shd w:fill="EEF2FF" w:color="auto" w:val="clear"/>
            <w:tcMar>
              <w:top w:type="dxa" w:w="200"/>
              <w:left w:type="dxa" w:w="240"/>
              <w:bottom w:type="dxa" w:w="200"/>
              <w:right w:type="dxa" w:w="240"/>
            </w:tcMar>
          </w:tcPr>
          <w:p>
            <w:pPr>
              <w:spacing w:after="60"/>
            </w:pPr>
            <w:r>
              <w:rPr>
                <w:b/>
                <w:bCs/>
                <w:color w:val="4F46E5"/>
                <w:spacing w:val="30"/>
                <w:sz w:val="17"/>
                <w:szCs w:val="17"/>
              </w:rPr>
              <w:t xml:space="preserve">LA SOLUTION</w:t>
            </w:r>
          </w:p>
          <w:p>
            <w:pPr>
              <w:spacing w:after="80"/>
            </w:pPr>
            <w:r>
              <w:rPr>
                <w:b/>
                <w:bCs/>
                <w:color w:val="1E1B4B"/>
                <w:sz w:val="26"/>
                <w:szCs w:val="26"/>
              </w:rPr>
              <w:t xml:space="preserve">Le Miroir</w:t>
            </w:r>
          </w:p>
          <w:p>
            <w:pPr>
              <w:spacing w:after="40" w:line="276"/>
            </w:pPr>
            <w:r>
              <w:rPr>
                <w:sz w:val="20"/>
                <w:szCs w:val="20"/>
              </w:rPr>
              <w:t xml:space="preserve">Le manager pronostique le moral de son équipe, puis découvre la réalité. L’écart révèle ses angles morts.</w:t>
            </w:r>
          </w:p>
        </w:tc>
      </w:tr>
      <w:tr>
        <w:trPr>
          <w:cantSplit/>
        </w:trPr>
        <w:tc>
          <w:tcPr>
            <w:tcW w:type="dxa" w:w="4513"/>
            <w:tcBorders>
              <w:top w:val="single" w:color="FFFFFF" w:sz="4"/>
              <w:left w:val="single" w:color="FFFFFF" w:sz="48"/>
              <w:bottom w:val="single" w:color="FFFFFF" w:sz="48"/>
              <w:right w:val="single" w:color="FFFFFF" w:sz="48"/>
            </w:tcBorders>
            <w:shd w:fill="D1FAE5" w:color="auto" w:val="clear"/>
            <w:tcMar>
              <w:top w:type="dxa" w:w="200"/>
              <w:left w:type="dxa" w:w="240"/>
              <w:bottom w:type="dxa" w:w="200"/>
              <w:right w:type="dxa" w:w="240"/>
            </w:tcMar>
          </w:tcPr>
          <w:p>
            <w:pPr>
              <w:spacing w:after="60"/>
            </w:pPr>
            <w:r>
              <w:rPr>
                <w:b/>
                <w:bCs/>
                <w:color w:val="047857"/>
                <w:spacing w:val="30"/>
                <w:sz w:val="17"/>
                <w:szCs w:val="17"/>
              </w:rPr>
              <w:t xml:space="preserve">LA DIFFÉRENCE</w:t>
            </w:r>
          </w:p>
          <w:p>
            <w:pPr>
              <w:spacing w:after="80"/>
            </w:pPr>
            <w:r>
              <w:rPr>
                <w:b/>
                <w:bCs/>
                <w:color w:val="1E1B4B"/>
                <w:sz w:val="26"/>
                <w:szCs w:val="26"/>
              </w:rPr>
              <w:t xml:space="preserve">Un écart, pas un score</w:t>
            </w:r>
          </w:p>
          <w:p>
            <w:pPr>
              <w:spacing w:after="40" w:line="276"/>
            </w:pPr>
            <w:r>
              <w:rPr>
                <w:sz w:val="20"/>
                <w:szCs w:val="20"/>
              </w:rPr>
              <w:t xml:space="preserve">On mesure ce que le manager ne voit pas, et on prouve l’anonymat au lieu de le promettre.</w:t>
            </w:r>
          </w:p>
        </w:tc>
        <w:tc>
          <w:tcPr>
            <w:tcW w:type="dxa" w:w="4513"/>
            <w:tcBorders>
              <w:top w:val="single" w:color="FFFFFF" w:sz="4"/>
              <w:left w:val="single" w:color="FFFFFF" w:sz="48"/>
              <w:bottom w:val="single" w:color="FFFFFF" w:sz="48"/>
              <w:right w:val="single" w:color="FFFFFF" w:sz="48"/>
            </w:tcBorders>
            <w:shd w:fill="FEF3C7" w:color="auto" w:val="clear"/>
            <w:tcMar>
              <w:top w:type="dxa" w:w="200"/>
              <w:left w:type="dxa" w:w="240"/>
              <w:bottom w:type="dxa" w:w="200"/>
              <w:right w:type="dxa" w:w="240"/>
            </w:tcMar>
          </w:tcPr>
          <w:p>
            <w:pPr>
              <w:spacing w:after="60"/>
            </w:pPr>
            <w:r>
              <w:rPr>
                <w:b/>
                <w:bCs/>
                <w:color w:val="B45309"/>
                <w:spacing w:val="30"/>
                <w:sz w:val="17"/>
                <w:szCs w:val="17"/>
              </w:rPr>
              <w:t xml:space="preserve">LA STACK</w:t>
            </w:r>
          </w:p>
          <w:p>
            <w:pPr>
              <w:spacing w:after="80"/>
            </w:pPr>
            <w:r>
              <w:rPr>
                <w:b/>
                <w:bCs/>
                <w:color w:val="1E1B4B"/>
                <w:sz w:val="26"/>
                <w:szCs w:val="26"/>
              </w:rPr>
              <w:t xml:space="preserve">Expo + Supabase</w:t>
            </w:r>
          </w:p>
          <w:p>
            <w:pPr>
              <w:spacing w:after="40" w:line="276"/>
            </w:pPr>
            <w:r>
              <w:rPr>
                <w:sz w:val="20"/>
                <w:szCs w:val="20"/>
              </w:rPr>
              <w:t xml:space="preserve">App native iOS / Android en TypeScript, back-end PostgreSQL hébergé, sécurité au niveau de la base.</w:t>
            </w:r>
          </w:p>
        </w:tc>
      </w:tr>
    </w:tbl>
    <w:p>
      <w:pPr>
        <w:spacing w:after="200"/>
      </w:pPr>
    </w:p>
    <w:p>
      <w:pPr>
        <w:pStyle w:val="Heading2"/>
        <w:keepNext/>
      </w:pPr>
      <w:r>
        <w:t xml:space="preserve">Le MVP en chiffres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Indicateur</w:t>
            </w:r>
          </w:p>
        </w:tc>
        <w:tc>
          <w:tcPr>
            <w:tcW w:type="dxa" w:w="6026"/>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Valeur</w:t>
            </w:r>
          </w:p>
        </w:tc>
      </w:tr>
      <w:tr>
        <w:trPr>
          <w:cantSplit/>
          <w:tblHeader w:val="off"/>
        </w:trPr>
        <w:tc>
          <w:tcPr>
            <w:tcW w:type="dxa" w:w="3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Écrans</w:t>
            </w:r>
          </w:p>
        </w:tc>
        <w:tc>
          <w:tcPr>
            <w:tcW w:type="dxa" w:w="60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b/>
                <w:bCs/>
                <w:sz w:val="20"/>
                <w:szCs w:val="20"/>
              </w:rPr>
              <w:t xml:space="preserve">3</w:t>
            </w:r>
            <w:r>
              <w:rPr>
                <w:sz w:val="20"/>
                <w:szCs w:val="20"/>
              </w:rPr>
              <w:t xml:space="preserve"> : saisie collaborateur, pronostic manager, Le Miroir</w:t>
            </w:r>
          </w:p>
        </w:tc>
      </w:tr>
      <w:tr>
        <w:trPr>
          <w:cantSplit/>
          <w:tblHeader w:val="off"/>
        </w:trPr>
        <w:tc>
          <w:tcPr>
            <w:tcW w:type="dxa" w:w="3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Graphe</w:t>
            </w:r>
          </w:p>
        </w:tc>
        <w:tc>
          <w:tcPr>
            <w:tcW w:type="dxa" w:w="60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b/>
                <w:bCs/>
                <w:sz w:val="20"/>
                <w:szCs w:val="20"/>
              </w:rPr>
              <w:t xml:space="preserve">1</w:t>
            </w:r>
            <w:r>
              <w:rPr>
                <w:sz w:val="20"/>
                <w:szCs w:val="20"/>
              </w:rPr>
              <w:t xml:space="preserve"> seul, sur les 30 derniers jours, conformément au brief</w:t>
            </w:r>
          </w:p>
        </w:tc>
      </w:tr>
      <w:tr>
        <w:trPr>
          <w:cantSplit/>
          <w:tblHeader w:val="off"/>
        </w:trPr>
        <w:tc>
          <w:tcPr>
            <w:tcW w:type="dxa" w:w="3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Temps de saisie</w:t>
            </w:r>
          </w:p>
        </w:tc>
        <w:tc>
          <w:tcPr>
            <w:tcW w:type="dxa" w:w="60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Moins de </w:t>
            </w:r>
            <w:r>
              <w:rPr>
                <w:b/>
                <w:bCs/>
                <w:sz w:val="20"/>
                <w:szCs w:val="20"/>
              </w:rPr>
              <w:t xml:space="preserve">10 secondes</w:t>
            </w:r>
          </w:p>
        </w:tc>
      </w:tr>
      <w:tr>
        <w:trPr>
          <w:cantSplit/>
          <w:tblHeader w:val="off"/>
        </w:trPr>
        <w:tc>
          <w:tcPr>
            <w:tcW w:type="dxa" w:w="3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Seuil d’anonymat</w:t>
            </w:r>
          </w:p>
        </w:tc>
        <w:tc>
          <w:tcPr>
            <w:tcW w:type="dxa" w:w="60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Moyenne affichée à partir de </w:t>
            </w:r>
            <w:r>
              <w:rPr>
                <w:b/>
                <w:bCs/>
                <w:sz w:val="20"/>
                <w:szCs w:val="20"/>
              </w:rPr>
              <w:t xml:space="preserve">5 réponses</w:t>
            </w:r>
          </w:p>
        </w:tc>
      </w:tr>
      <w:tr>
        <w:trPr>
          <w:cantSplit/>
          <w:tblHeader w:val="off"/>
        </w:trPr>
        <w:tc>
          <w:tcPr>
            <w:tcW w:type="dxa" w:w="3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Délai</w:t>
            </w:r>
          </w:p>
        </w:tc>
        <w:tc>
          <w:tcPr>
            <w:tcW w:type="dxa" w:w="60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b/>
                <w:bCs/>
                <w:sz w:val="20"/>
                <w:szCs w:val="20"/>
              </w:rPr>
              <w:t xml:space="preserve">10 jours</w:t>
            </w:r>
            <w:r>
              <w:rPr>
                <w:sz w:val="20"/>
                <w:szCs w:val="20"/>
              </w:rPr>
              <w:t xml:space="preserve"> de développement, du 13 au 23 octobre</w:t>
            </w:r>
          </w:p>
        </w:tc>
      </w:tr>
    </w:tbl>
    <w:p>
      <w:pPr>
        <w:pageBreakBefore/>
        <w:spacing w:after="0"/>
      </w:pPr>
      <w:r>
        <w:rPr>
          <w:b/>
          <w:bCs/>
          <w:color w:val="C7D2FE"/>
          <w:sz w:val="72"/>
          <w:szCs w:val="72"/>
        </w:rPr>
        <w:t xml:space="preserve">02</w:t>
      </w:r>
    </w:p>
    <w:p>
      <w:pPr>
        <w:pStyle w:val="Heading1"/>
      </w:pPr>
      <w:bookmarkStart w:name="_Toc2" w:id="2"/>
      <w:r>
        <w:t xml:space="preserve">Contexte et problème</w:t>
      </w:r>
      <w:bookmarkEnd w:id="2"/>
    </w:p>
    <w:p>
      <w:pPr>
        <w:pBdr>
          <w:bottom w:val="single" w:color="E0E7FF" w:sz="6" w:space="10"/>
        </w:pBdr>
        <w:spacing w:after="280"/>
      </w:pPr>
      <w:r>
        <w:rPr>
          <w:i/>
          <w:iCs/>
          <w:color w:val="6B7280"/>
          <w:sz w:val="24"/>
          <w:szCs w:val="24"/>
        </w:rPr>
        <w:t xml:space="preserve">Le mal-être au travail n’est pas seulement fréquent, il est invisible.</w:t>
      </w:r>
    </w:p>
    <w:p>
      <w:pPr>
        <w:spacing w:after="120" w:before="120"/>
        <w:jc w:val="center"/>
      </w:pPr>
      <w:r>
        <w:drawing>
          <wp:inline distT="0" distB="0" distL="0" distR="0">
            <wp:extent cx="5734050" cy="1933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1933575"/>
                    </a:xfrm>
                    <a:prstGeom prst="rect">
                      <a:avLst/>
                    </a:prstGeom>
                  </pic:spPr>
                </pic:pic>
              </a:graphicData>
            </a:graphic>
          </wp:inline>
        </w:drawing>
      </w:r>
    </w:p>
    <w:p>
      <w:pPr>
        <w:spacing w:after="240"/>
        <w:jc w:val="center"/>
      </w:pPr>
      <w:r>
        <w:rPr>
          <w:i/>
          <w:iCs/>
          <w:color w:val="6B7280"/>
          <w:sz w:val="18"/>
          <w:szCs w:val="18"/>
        </w:rPr>
        <w:t xml:space="preserve">Source : Observatoire de la responsabilité sociétale des entreprises (ORSE), chiffres présentés au lancement du projet.</w:t>
      </w:r>
    </w:p>
    <w:p>
      <w:pPr>
        <w:pStyle w:val="Heading2"/>
        <w:keepNext/>
      </w:pPr>
      <w:r>
        <w:t xml:space="preserve">Le vrai problème : l’invisibilité</w:t>
      </w:r>
    </w:p>
    <w:p>
      <w:pPr>
        <w:spacing w:after="140" w:line="300"/>
      </w:pPr>
      <w:r>
        <w:t xml:space="preserve">Le troisième chiffre est le plus révélateur. Le problème n’est pas seulement que le moral soit bas : c’est que </w:t>
      </w:r>
      <w:r>
        <w:rPr>
          <w:b/>
          <w:bCs/>
        </w:rPr>
        <w:t xml:space="preserve">personne ne le voit</w:t>
      </w:r>
      <w:r>
        <w:t xml:space="preserve">. Les signaux faibles ne remontent pas jusqu’au manager, ou il les interprète mal. Le burn-out semble alors arriver « sans prévenir ».</w:t>
      </w:r>
    </w:p>
    <w:p>
      <w:pPr>
        <w:spacing w:after="140" w:line="300"/>
      </w:pPr>
      <w:r>
        <w:t xml:space="preserve">Les outils classiques de mood tracking mesurent le moral. Aucun ne mesure l’écart entre ce que vit l’équipe et ce que perçoit son manager. C’est précisément cet angle mort que Moodly cible.</w:t>
      </w:r>
    </w:p>
    <w:p>
      <w:pPr>
        <w:pStyle w:val="Heading2"/>
        <w:keepNext/>
      </w:pPr>
      <w:r>
        <w:t xml:space="preserve">Le cadre du projet</w:t>
      </w:r>
    </w:p>
    <w:p>
      <w:pPr>
        <w:pStyle w:val="ListParagraph"/>
        <w:numPr>
          <w:ilvl w:val="0"/>
          <w:numId w:val="2"/>
        </w:numPr>
        <w:spacing w:after="80" w:line="288"/>
      </w:pPr>
      <w:r>
        <w:t xml:space="preserve">Livrer un </w:t>
      </w:r>
      <w:r>
        <w:rPr>
          <w:b/>
          <w:bCs/>
        </w:rPr>
        <w:t xml:space="preserve">MVP fonctionnel</w:t>
      </w:r>
      <w:r>
        <w:t xml:space="preserve"> d’application mobile de mood tracking.</w:t>
      </w:r>
    </w:p>
    <w:p>
      <w:pPr>
        <w:pStyle w:val="ListParagraph"/>
        <w:numPr>
          <w:ilvl w:val="0"/>
          <w:numId w:val="2"/>
        </w:numPr>
        <w:spacing w:after="80" w:line="288"/>
      </w:pPr>
      <w:r>
        <w:t xml:space="preserve">Deux parties prenantes : </w:t>
      </w:r>
      <w:r>
        <w:rPr>
          <w:b/>
          <w:bCs/>
        </w:rPr>
        <w:t xml:space="preserve">managers</w:t>
      </w:r>
      <w:r>
        <w:t xml:space="preserve"> et </w:t>
      </w:r>
      <w:r>
        <w:rPr>
          <w:b/>
          <w:bCs/>
        </w:rPr>
        <w:t xml:space="preserve">collaborateurs</w:t>
      </w:r>
      <w:r>
        <w:t xml:space="preserve">.</w:t>
      </w:r>
    </w:p>
    <w:p>
      <w:pPr>
        <w:pStyle w:val="ListParagraph"/>
        <w:numPr>
          <w:ilvl w:val="0"/>
          <w:numId w:val="2"/>
        </w:numPr>
        <w:spacing w:after="80" w:line="288"/>
      </w:pPr>
      <w:r>
        <w:t xml:space="preserve">Périmètre : un login avec gestion des droits, un écran de saisie du moral, une vue manager sur les </w:t>
      </w:r>
      <w:r>
        <w:rPr>
          <w:b/>
          <w:bCs/>
        </w:rPr>
        <w:t xml:space="preserve">30 derniers jours</w:t>
      </w:r>
      <w:r>
        <w:t xml:space="preserve"> avec </w:t>
      </w:r>
      <w:r>
        <w:rPr>
          <w:b/>
          <w:bCs/>
        </w:rPr>
        <w:t xml:space="preserve">un seul graphe</w:t>
      </w:r>
      <w:r>
        <w:t xml:space="preserve">.</w:t>
      </w:r>
    </w:p>
    <w:p>
      <w:pPr>
        <w:pStyle w:val="ListParagraph"/>
        <w:numPr>
          <w:ilvl w:val="0"/>
          <w:numId w:val="2"/>
        </w:numPr>
        <w:spacing w:after="80" w:line="288"/>
      </w:pPr>
      <w:r>
        <w:t xml:space="preserve">Exigence forte : </w:t>
      </w:r>
      <w:r>
        <w:rPr>
          <w:b/>
          <w:bCs/>
        </w:rPr>
        <w:t xml:space="preserve">anonymisation</w:t>
      </w:r>
      <w:r>
        <w:t xml:space="preserve">, aucun salarié ne doit être identifiable.</w:t>
      </w:r>
    </w:p>
    <w:p>
      <w:pPr>
        <w:pStyle w:val="ListParagraph"/>
        <w:numPr>
          <w:ilvl w:val="0"/>
          <w:numId w:val="2"/>
        </w:numPr>
        <w:spacing w:after="80" w:line="288"/>
      </w:pPr>
      <w:r>
        <w:t xml:space="preserve">Stack technique </w:t>
      </w:r>
      <w:r>
        <w:rPr>
          <w:b/>
          <w:bCs/>
        </w:rPr>
        <w:t xml:space="preserve">libre</w:t>
      </w:r>
      <w:r>
        <w:t xml:space="preserve"> : notre choix est argumenté en partie 08.</w:t>
      </w:r>
    </w:p>
    <w:p>
      <w:pPr>
        <w:pageBreakBefore/>
        <w:spacing w:after="0"/>
      </w:pPr>
      <w:r>
        <w:rPr>
          <w:b/>
          <w:bCs/>
          <w:color w:val="C7D2FE"/>
          <w:sz w:val="72"/>
          <w:szCs w:val="72"/>
        </w:rPr>
        <w:t xml:space="preserve">03</w:t>
      </w:r>
    </w:p>
    <w:p>
      <w:pPr>
        <w:pStyle w:val="Heading1"/>
      </w:pPr>
      <w:bookmarkStart w:name="_Toc3" w:id="3"/>
      <w:r>
        <w:t xml:space="preserve">Le concept : Le Miroir</w:t>
      </w:r>
      <w:bookmarkEnd w:id="3"/>
    </w:p>
    <w:p>
      <w:pPr>
        <w:pBdr>
          <w:bottom w:val="single" w:color="E0E7FF" w:sz="6" w:space="10"/>
        </w:pBdr>
        <w:spacing w:after="280"/>
      </w:pPr>
      <w:r>
        <w:rPr>
          <w:i/>
          <w:iCs/>
          <w:color w:val="6B7280"/>
          <w:sz w:val="24"/>
          <w:szCs w:val="24"/>
        </w:rPr>
        <w:t xml:space="preserve">Comparer ce que le manager croit à ce que l’équipe vit.</w:t>
      </w:r>
    </w:p>
    <w:p>
      <w:pPr>
        <w:pStyle w:val="Heading2"/>
        <w:keepNext/>
      </w:pPr>
      <w:r>
        <w:t xml:space="preserve">Elevator pitch</w:t>
      </w:r>
    </w:p>
    <w:p>
      <w:pPr>
        <w:spacing w:after="140" w:line="300"/>
      </w:pPr>
      <w:r>
        <w:t xml:space="preserve">La moitié des salariés estime que leur entreprise ignore leur détresse. Le problème n’est pas le manque de bonne volonté des managers, c’est qu’ils ne voient pas ce qui se passe. Avec Moodly, chaque collaborateur partage son moral en quelques secondes, de façon totalement anonyme. Chaque semaine, le manager fait un pronostic sur le moral de son équipe, puis découvre la réalité. L’écart entre les deux révèle ses angles morts, les tags lui disent pourquoi, et il peut agir avant que la situation ne dégénère. Le succès de Moodly se mesure simplement : l’écart qui se réduit, semaine après semaine.</w:t>
      </w:r>
    </w:p>
    <w:p>
      <w:pPr>
        <w:pStyle w:val="Heading2"/>
        <w:keepNext/>
      </w:pPr>
      <w:r>
        <w:t xml:space="preserve">La boucle du Miroir</w:t>
      </w:r>
    </w:p>
    <w:p>
      <w:pPr>
        <w:spacing w:after="120" w:before="120"/>
        <w:jc w:val="center"/>
      </w:pPr>
      <w:r>
        <w:drawing>
          <wp:inline distT="0" distB="0" distL="0" distR="0">
            <wp:extent cx="3810000" cy="2381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381250"/>
                    </a:xfrm>
                    <a:prstGeom prst="rect">
                      <a:avLst/>
                    </a:prstGeom>
                  </pic:spPr>
                </pic:pic>
              </a:graphicData>
            </a:graphic>
          </wp:inline>
        </w:drawing>
      </w:r>
    </w:p>
    <w:p>
      <w:pPr>
        <w:pStyle w:val="Heading2"/>
        <w:keepNext/>
      </w:pPr>
      <w:r>
        <w:t xml:space="preserve">Lire l’écart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rPr>
          <w:cantSplit/>
          <w:tblHeader/>
        </w:trPr>
        <w:tc>
          <w:tcPr>
            <w:tcW w:type="dxa" w:w="25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Situation</w:t>
            </w:r>
          </w:p>
        </w:tc>
        <w:tc>
          <w:tcPr>
            <w:tcW w:type="dxa" w:w="32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Ce que ça veut dire</w:t>
            </w:r>
          </w:p>
        </w:tc>
        <w:tc>
          <w:tcPr>
            <w:tcW w:type="dxa" w:w="3326"/>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Ce que le manager peut faire</w:t>
            </w:r>
          </w:p>
        </w:tc>
      </w:tr>
      <w:tr>
        <w:trPr>
          <w:cantSplit/>
          <w:tblHeader w:val="off"/>
        </w:trPr>
        <w:tc>
          <w:tcPr>
            <w:tcW w:type="dxa" w:w="2500"/>
            <w:tcBorders>
              <w:top w:val="single" w:color="E0E7FF" w:sz="4"/>
              <w:left w:val="single" w:color="E0E7FF" w:sz="4"/>
              <w:bottom w:val="single" w:color="E0E7FF" w:sz="4"/>
              <w:right w:val="single" w:color="E0E7FF" w:sz="4"/>
            </w:tcBorders>
            <w:shd w:fill="FFE4E6" w:color="auto" w:val="clear"/>
            <w:tcMar>
              <w:top w:type="dxa" w:w="90"/>
              <w:left w:type="dxa" w:w="130"/>
              <w:bottom w:type="dxa" w:w="90"/>
              <w:right w:type="dxa" w:w="130"/>
            </w:tcMar>
            <w:vAlign w:val="top"/>
          </w:tcPr>
          <w:p>
            <w:pPr>
              <w:spacing w:after="40" w:line="264"/>
            </w:pPr>
            <w:r>
              <w:rPr>
                <w:b/>
                <w:bCs/>
                <w:sz w:val="20"/>
                <w:szCs w:val="20"/>
              </w:rPr>
              <w:t xml:space="preserve">Il surestime</w:t>
            </w:r>
            <w:r>
              <w:rPr>
                <w:sz w:val="20"/>
                <w:szCs w:val="20"/>
              </w:rPr>
              <w:t xml:space="preserve"> (pense 4/5, équipe à 2/5)</w:t>
            </w:r>
          </w:p>
        </w:tc>
        <w:tc>
          <w:tcPr>
            <w:tcW w:type="dxa" w:w="3200"/>
            <w:tcBorders>
              <w:top w:val="single" w:color="E0E7FF" w:sz="4"/>
              <w:left w:val="single" w:color="E0E7FF" w:sz="4"/>
              <w:bottom w:val="single" w:color="E0E7FF" w:sz="4"/>
              <w:right w:val="single" w:color="E0E7FF" w:sz="4"/>
            </w:tcBorders>
            <w:shd w:fill="FFE4E6" w:color="auto" w:val="clear"/>
            <w:tcMar>
              <w:top w:type="dxa" w:w="90"/>
              <w:left w:type="dxa" w:w="130"/>
              <w:bottom w:type="dxa" w:w="90"/>
              <w:right w:type="dxa" w:w="130"/>
            </w:tcMar>
            <w:vAlign w:val="top"/>
          </w:tcPr>
          <w:p>
            <w:pPr>
              <w:spacing w:after="40" w:line="264"/>
            </w:pPr>
            <w:r>
              <w:rPr>
                <w:sz w:val="20"/>
                <w:szCs w:val="20"/>
              </w:rPr>
              <w:t xml:space="preserve">Angle mort : l’équipe ne remonte pas son mal-être. C’est le cas le plus dangereux.</w:t>
            </w:r>
          </w:p>
        </w:tc>
        <w:tc>
          <w:tcPr>
            <w:tcW w:type="dxa" w:w="3326"/>
            <w:tcBorders>
              <w:top w:val="single" w:color="E0E7FF" w:sz="4"/>
              <w:left w:val="single" w:color="E0E7FF" w:sz="4"/>
              <w:bottom w:val="single" w:color="E0E7FF" w:sz="4"/>
              <w:right w:val="single" w:color="E0E7FF" w:sz="4"/>
            </w:tcBorders>
            <w:shd w:fill="FFE4E6" w:color="auto" w:val="clear"/>
            <w:tcMar>
              <w:top w:type="dxa" w:w="90"/>
              <w:left w:type="dxa" w:w="130"/>
              <w:bottom w:type="dxa" w:w="90"/>
              <w:right w:type="dxa" w:w="130"/>
            </w:tcMar>
            <w:vAlign w:val="top"/>
          </w:tcPr>
          <w:p>
            <w:pPr>
              <w:spacing w:after="40" w:line="264"/>
            </w:pPr>
            <w:r>
              <w:rPr>
                <w:sz w:val="20"/>
                <w:szCs w:val="20"/>
              </w:rPr>
              <w:t xml:space="preserve">Consulter le tag dominant, ouvrir la discussion en équipe, entretiens individuels, revoir la charge.</w:t>
            </w:r>
          </w:p>
        </w:tc>
      </w:tr>
      <w:tr>
        <w:trPr>
          <w:cantSplit/>
          <w:tblHeader w:val="off"/>
        </w:trPr>
        <w:tc>
          <w:tcPr>
            <w:tcW w:type="dxa" w:w="2500"/>
            <w:tcBorders>
              <w:top w:val="single" w:color="E0E7FF" w:sz="4"/>
              <w:left w:val="single" w:color="E0E7FF" w:sz="4"/>
              <w:bottom w:val="single" w:color="E0E7FF" w:sz="4"/>
              <w:right w:val="single" w:color="E0E7FF" w:sz="4"/>
            </w:tcBorders>
            <w:shd w:fill="FEF3C7" w:color="auto" w:val="clear"/>
            <w:tcMar>
              <w:top w:type="dxa" w:w="90"/>
              <w:left w:type="dxa" w:w="130"/>
              <w:bottom w:type="dxa" w:w="90"/>
              <w:right w:type="dxa" w:w="130"/>
            </w:tcMar>
            <w:vAlign w:val="top"/>
          </w:tcPr>
          <w:p>
            <w:pPr>
              <w:spacing w:after="40" w:line="264"/>
            </w:pPr>
            <w:r>
              <w:rPr>
                <w:b/>
                <w:bCs/>
                <w:sz w:val="20"/>
                <w:szCs w:val="20"/>
              </w:rPr>
              <w:t xml:space="preserve">Il sous-estime</w:t>
            </w:r>
            <w:r>
              <w:rPr>
                <w:sz w:val="20"/>
                <w:szCs w:val="20"/>
              </w:rPr>
              <w:t xml:space="preserve"> (pense 2/5, équipe à 4/5)</w:t>
            </w:r>
          </w:p>
        </w:tc>
        <w:tc>
          <w:tcPr>
            <w:tcW w:type="dxa" w:w="3200"/>
            <w:tcBorders>
              <w:top w:val="single" w:color="E0E7FF" w:sz="4"/>
              <w:left w:val="single" w:color="E0E7FF" w:sz="4"/>
              <w:bottom w:val="single" w:color="E0E7FF" w:sz="4"/>
              <w:right w:val="single" w:color="E0E7FF" w:sz="4"/>
            </w:tcBorders>
            <w:shd w:fill="FEF3C7" w:color="auto" w:val="clear"/>
            <w:tcMar>
              <w:top w:type="dxa" w:w="90"/>
              <w:left w:type="dxa" w:w="130"/>
              <w:bottom w:type="dxa" w:w="90"/>
              <w:right w:type="dxa" w:w="130"/>
            </w:tcMar>
            <w:vAlign w:val="top"/>
          </w:tcPr>
          <w:p>
            <w:pPr>
              <w:spacing w:after="40" w:line="264"/>
            </w:pPr>
            <w:r>
              <w:rPr>
                <w:sz w:val="20"/>
                <w:szCs w:val="20"/>
              </w:rPr>
              <w:t xml:space="preserve">Inquiétude excessive, ou projection de son propre stress.</w:t>
            </w:r>
          </w:p>
        </w:tc>
        <w:tc>
          <w:tcPr>
            <w:tcW w:type="dxa" w:w="3326"/>
            <w:tcBorders>
              <w:top w:val="single" w:color="E0E7FF" w:sz="4"/>
              <w:left w:val="single" w:color="E0E7FF" w:sz="4"/>
              <w:bottom w:val="single" w:color="E0E7FF" w:sz="4"/>
              <w:right w:val="single" w:color="E0E7FF" w:sz="4"/>
            </w:tcBorders>
            <w:shd w:fill="FEF3C7" w:color="auto" w:val="clear"/>
            <w:tcMar>
              <w:top w:type="dxa" w:w="90"/>
              <w:left w:type="dxa" w:w="130"/>
              <w:bottom w:type="dxa" w:w="90"/>
              <w:right w:type="dxa" w:w="130"/>
            </w:tcMar>
            <w:vAlign w:val="top"/>
          </w:tcPr>
          <w:p>
            <w:pPr>
              <w:spacing w:after="40" w:line="264"/>
            </w:pPr>
            <w:r>
              <w:rPr>
                <w:sz w:val="20"/>
                <w:szCs w:val="20"/>
              </w:rPr>
              <w:t xml:space="preserve">Se rassurer, et prêter attention à son propre moral : les managers aussi s’épuisent.</w:t>
            </w:r>
          </w:p>
        </w:tc>
      </w:tr>
      <w:tr>
        <w:trPr>
          <w:cantSplit/>
          <w:tblHeader w:val="off"/>
        </w:trPr>
        <w:tc>
          <w:tcPr>
            <w:tcW w:type="dxa" w:w="2500"/>
            <w:tcBorders>
              <w:top w:val="single" w:color="E0E7FF" w:sz="4"/>
              <w:left w:val="single" w:color="E0E7FF" w:sz="4"/>
              <w:bottom w:val="single" w:color="E0E7FF" w:sz="4"/>
              <w:right w:val="single" w:color="E0E7FF" w:sz="4"/>
            </w:tcBorders>
            <w:shd w:fill="D1FAE5" w:color="auto" w:val="clear"/>
            <w:tcMar>
              <w:top w:type="dxa" w:w="90"/>
              <w:left w:type="dxa" w:w="130"/>
              <w:bottom w:type="dxa" w:w="90"/>
              <w:right w:type="dxa" w:w="130"/>
            </w:tcMar>
            <w:vAlign w:val="top"/>
          </w:tcPr>
          <w:p>
            <w:pPr>
              <w:spacing w:after="40" w:line="264"/>
            </w:pPr>
            <w:r>
              <w:rPr>
                <w:b/>
                <w:bCs/>
                <w:sz w:val="20"/>
                <w:szCs w:val="20"/>
              </w:rPr>
              <w:t xml:space="preserve">L’écart se réduit</w:t>
            </w:r>
          </w:p>
        </w:tc>
        <w:tc>
          <w:tcPr>
            <w:tcW w:type="dxa" w:w="3200"/>
            <w:tcBorders>
              <w:top w:val="single" w:color="E0E7FF" w:sz="4"/>
              <w:left w:val="single" w:color="E0E7FF" w:sz="4"/>
              <w:bottom w:val="single" w:color="E0E7FF" w:sz="4"/>
              <w:right w:val="single" w:color="E0E7FF" w:sz="4"/>
            </w:tcBorders>
            <w:shd w:fill="D1FAE5" w:color="auto" w:val="clear"/>
            <w:tcMar>
              <w:top w:type="dxa" w:w="90"/>
              <w:left w:type="dxa" w:w="130"/>
              <w:bottom w:type="dxa" w:w="90"/>
              <w:right w:type="dxa" w:w="130"/>
            </w:tcMar>
            <w:vAlign w:val="top"/>
          </w:tcPr>
          <w:p>
            <w:pPr>
              <w:spacing w:after="40" w:line="264"/>
            </w:pPr>
            <w:r>
              <w:rPr>
                <w:sz w:val="20"/>
                <w:szCs w:val="20"/>
              </w:rPr>
              <w:t xml:space="preserve">Le manager apprend à lire son équipe.</w:t>
            </w:r>
          </w:p>
        </w:tc>
        <w:tc>
          <w:tcPr>
            <w:tcW w:type="dxa" w:w="3326"/>
            <w:tcBorders>
              <w:top w:val="single" w:color="E0E7FF" w:sz="4"/>
              <w:left w:val="single" w:color="E0E7FF" w:sz="4"/>
              <w:bottom w:val="single" w:color="E0E7FF" w:sz="4"/>
              <w:right w:val="single" w:color="E0E7FF" w:sz="4"/>
            </w:tcBorders>
            <w:shd w:fill="D1FAE5" w:color="auto" w:val="clear"/>
            <w:tcMar>
              <w:top w:type="dxa" w:w="90"/>
              <w:left w:type="dxa" w:w="130"/>
              <w:bottom w:type="dxa" w:w="90"/>
              <w:right w:type="dxa" w:w="130"/>
            </w:tcMar>
            <w:vAlign w:val="top"/>
          </w:tcPr>
          <w:p>
            <w:pPr>
              <w:spacing w:after="40" w:line="264"/>
            </w:pPr>
            <w:r>
              <w:rPr>
                <w:sz w:val="20"/>
                <w:szCs w:val="20"/>
              </w:rPr>
              <w:t xml:space="preserve">C’est l’indicateur de succès de Moodly.</w:t>
            </w:r>
          </w:p>
        </w:tc>
      </w:tr>
    </w:tbl>
    <w:p>
      <w:pPr>
        <w:pageBreakBefore/>
        <w:spacing w:after="0"/>
      </w:pPr>
      <w:r>
        <w:rPr>
          <w:b/>
          <w:bCs/>
          <w:color w:val="C7D2FE"/>
          <w:sz w:val="72"/>
          <w:szCs w:val="72"/>
        </w:rPr>
        <w:t xml:space="preserve">04</w:t>
      </w:r>
    </w:p>
    <w:p>
      <w:pPr>
        <w:pStyle w:val="Heading1"/>
      </w:pPr>
      <w:bookmarkStart w:name="_Toc4" w:id="4"/>
      <w:r>
        <w:t xml:space="preserve">Utilisateurs et besoins</w:t>
      </w:r>
      <w:bookmarkEnd w:id="4"/>
    </w:p>
    <w:p>
      <w:pPr>
        <w:pBdr>
          <w:bottom w:val="single" w:color="E0E7FF" w:sz="6" w:space="10"/>
        </w:pBdr>
        <w:spacing w:after="280"/>
      </w:pPr>
      <w:r>
        <w:rPr>
          <w:i/>
          <w:iCs/>
          <w:color w:val="6B7280"/>
          <w:sz w:val="24"/>
          <w:szCs w:val="24"/>
        </w:rPr>
        <w:t xml:space="preserve">Deux profils, deux attentes, un même outil.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FFFFFF" w:sz="4"/>
              <w:left w:val="single" w:color="FFFFFF" w:sz="48"/>
              <w:bottom w:val="single" w:color="FFFFFF" w:sz="48"/>
              <w:right w:val="single" w:color="FFFFFF" w:sz="48"/>
            </w:tcBorders>
            <w:shd w:fill="EEF2FF" w:color="auto" w:val="clear"/>
            <w:tcMar>
              <w:top w:type="dxa" w:w="200"/>
              <w:left w:type="dxa" w:w="240"/>
              <w:bottom w:type="dxa" w:w="200"/>
              <w:right w:type="dxa" w:w="240"/>
            </w:tcMar>
          </w:tcPr>
          <w:p>
            <w:pPr>
              <w:spacing w:after="60"/>
            </w:pPr>
            <w:r>
              <w:rPr>
                <w:b/>
                <w:bCs/>
                <w:color w:val="4F46E5"/>
                <w:spacing w:val="30"/>
                <w:sz w:val="17"/>
                <w:szCs w:val="17"/>
              </w:rPr>
              <w:t xml:space="preserve">PERSONA COLLABORATEUR</w:t>
            </w:r>
          </w:p>
          <w:p>
            <w:pPr>
              <w:spacing w:after="80"/>
            </w:pPr>
            <w:r>
              <w:rPr>
                <w:b/>
                <w:bCs/>
                <w:color w:val="1E1B4B"/>
                <w:sz w:val="26"/>
                <w:szCs w:val="26"/>
              </w:rPr>
              <w:t xml:space="preserve">Inès, 29 ans, cheffe de projet</w:t>
            </w:r>
          </w:p>
          <w:p>
            <w:pPr>
              <w:spacing w:after="40" w:line="276"/>
            </w:pPr>
            <w:r>
              <w:rPr>
                <w:sz w:val="20"/>
                <w:szCs w:val="20"/>
              </w:rPr>
              <w:t xml:space="preserve">Charge de travail en hausse depuis deux mois.</w:t>
            </w:r>
          </w:p>
          <w:p>
            <w:pPr>
              <w:spacing w:after="40" w:line="276"/>
            </w:pPr>
            <w:r>
              <w:rPr>
                <w:b/>
                <w:bCs/>
                <w:sz w:val="20"/>
                <w:szCs w:val="20"/>
              </w:rPr>
              <w:t xml:space="preserve">Frein</w:t>
            </w:r>
            <w:r>
              <w:rPr>
                <w:sz w:val="20"/>
                <w:szCs w:val="20"/>
              </w:rPr>
              <w:t xml:space="preserve"> : peur d’être identifiée si elle dit que ça ne va pas.</w:t>
            </w:r>
          </w:p>
          <w:p>
            <w:pPr>
              <w:spacing w:after="40" w:line="276"/>
            </w:pPr>
            <w:r>
              <w:rPr>
                <w:b/>
                <w:bCs/>
                <w:sz w:val="20"/>
                <w:szCs w:val="20"/>
              </w:rPr>
              <w:t xml:space="preserve">Besoin</w:t>
            </w:r>
            <w:r>
              <w:rPr>
                <w:sz w:val="20"/>
                <w:szCs w:val="20"/>
              </w:rPr>
              <w:t xml:space="preserve"> : s’exprimer vite, sans risque, et que ça serve à quelque chose.</w:t>
            </w:r>
          </w:p>
        </w:tc>
        <w:tc>
          <w:tcPr>
            <w:tcW w:type="dxa" w:w="4513"/>
            <w:tcBorders>
              <w:top w:val="single" w:color="FFFFFF" w:sz="4"/>
              <w:left w:val="single" w:color="FFFFFF" w:sz="48"/>
              <w:bottom w:val="single" w:color="FFFFFF" w:sz="48"/>
              <w:right w:val="single" w:color="FFFFFF" w:sz="48"/>
            </w:tcBorders>
            <w:shd w:fill="D1FAE5" w:color="auto" w:val="clear"/>
            <w:tcMar>
              <w:top w:type="dxa" w:w="200"/>
              <w:left w:type="dxa" w:w="240"/>
              <w:bottom w:type="dxa" w:w="200"/>
              <w:right w:type="dxa" w:w="240"/>
            </w:tcMar>
          </w:tcPr>
          <w:p>
            <w:pPr>
              <w:spacing w:after="60"/>
            </w:pPr>
            <w:r>
              <w:rPr>
                <w:b/>
                <w:bCs/>
                <w:color w:val="047857"/>
                <w:spacing w:val="30"/>
                <w:sz w:val="17"/>
                <w:szCs w:val="17"/>
              </w:rPr>
              <w:t xml:space="preserve">PERSONA MANAGER</w:t>
            </w:r>
          </w:p>
          <w:p>
            <w:pPr>
              <w:spacing w:after="80"/>
            </w:pPr>
            <w:r>
              <w:rPr>
                <w:b/>
                <w:bCs/>
                <w:color w:val="1E1B4B"/>
                <w:sz w:val="26"/>
                <w:szCs w:val="26"/>
              </w:rPr>
              <w:t xml:space="preserve">Thomas, 41 ans, manager de 8 personnes</w:t>
            </w:r>
          </w:p>
          <w:p>
            <w:pPr>
              <w:spacing w:after="40" w:line="276"/>
            </w:pPr>
            <w:r>
              <w:rPr>
                <w:sz w:val="20"/>
                <w:szCs w:val="20"/>
              </w:rPr>
              <w:t xml:space="preserve">Pense que son équipe va bien : personne ne se plaint.</w:t>
            </w:r>
          </w:p>
          <w:p>
            <w:pPr>
              <w:spacing w:after="40" w:line="276"/>
            </w:pPr>
            <w:r>
              <w:rPr>
                <w:b/>
                <w:bCs/>
                <w:sz w:val="20"/>
                <w:szCs w:val="20"/>
              </w:rPr>
              <w:t xml:space="preserve">Frein</w:t>
            </w:r>
            <w:r>
              <w:rPr>
                <w:sz w:val="20"/>
                <w:szCs w:val="20"/>
              </w:rPr>
              <w:t xml:space="preserve"> : peu de temps, méfiance envers les outils RH.</w:t>
            </w:r>
          </w:p>
          <w:p>
            <w:pPr>
              <w:spacing w:after="40" w:line="276"/>
            </w:pPr>
            <w:r>
              <w:rPr>
                <w:b/>
                <w:bCs/>
                <w:sz w:val="20"/>
                <w:szCs w:val="20"/>
              </w:rPr>
              <w:t xml:space="preserve">Besoin</w:t>
            </w:r>
            <w:r>
              <w:rPr>
                <w:sz w:val="20"/>
                <w:szCs w:val="20"/>
              </w:rPr>
              <w:t xml:space="preserve"> : savoir où agir, sans tableau de bord compliqué.</w:t>
            </w:r>
          </w:p>
        </w:tc>
      </w:tr>
    </w:tbl>
    <w:p>
      <w:pPr>
        <w:spacing w:after="200"/>
      </w:pPr>
    </w:p>
    <w:p>
      <w:pPr>
        <w:pStyle w:val="Heading2"/>
        <w:keepNext/>
      </w:pPr>
      <w:r>
        <w:t xml:space="preserve">User stories du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rPr>
          <w:cantSplit/>
          <w:tblHeader/>
        </w:trPr>
        <w:tc>
          <w:tcPr>
            <w:tcW w:type="dxa" w:w="6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w:t>
            </w:r>
          </w:p>
        </w:tc>
        <w:tc>
          <w:tcPr>
            <w:tcW w:type="dxa" w:w="22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En tant que…</w:t>
            </w:r>
          </w:p>
        </w:tc>
        <w:tc>
          <w:tcPr>
            <w:tcW w:type="dxa" w:w="6226"/>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Je veux… afin de…</w:t>
            </w:r>
          </w:p>
        </w:tc>
      </w:tr>
      <w:tr>
        <w:trPr>
          <w:cantSplit/>
          <w:tblHeader w:val="off"/>
        </w:trPr>
        <w:tc>
          <w:tcPr>
            <w:tcW w:type="dxa" w:w="6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1</w:t>
            </w:r>
          </w:p>
        </w:tc>
        <w:tc>
          <w:tcPr>
            <w:tcW w:type="dxa" w:w="22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Collaborateur</w:t>
            </w:r>
          </w:p>
        </w:tc>
        <w:tc>
          <w:tcPr>
            <w:tcW w:type="dxa" w:w="62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me connecter avec mon e-mail, afin d’accéder à mon espace.</w:t>
            </w:r>
          </w:p>
        </w:tc>
      </w:tr>
      <w:tr>
        <w:trPr>
          <w:cantSplit/>
          <w:tblHeader w:val="off"/>
        </w:trPr>
        <w:tc>
          <w:tcPr>
            <w:tcW w:type="dxa" w:w="6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2</w:t>
            </w:r>
          </w:p>
        </w:tc>
        <w:tc>
          <w:tcPr>
            <w:tcW w:type="dxa" w:w="22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Collaborateur</w:t>
            </w:r>
          </w:p>
        </w:tc>
        <w:tc>
          <w:tcPr>
            <w:tcW w:type="dxa" w:w="62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comprendre dès la première ouverture pourquoi je suis anonyme, afin d’oser répondre honnêtement.</w:t>
            </w:r>
          </w:p>
        </w:tc>
      </w:tr>
      <w:tr>
        <w:trPr>
          <w:cantSplit/>
          <w:tblHeader w:val="off"/>
        </w:trPr>
        <w:tc>
          <w:tcPr>
            <w:tcW w:type="dxa" w:w="6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3</w:t>
            </w:r>
          </w:p>
        </w:tc>
        <w:tc>
          <w:tcPr>
            <w:tcW w:type="dxa" w:w="22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Collaborateur</w:t>
            </w:r>
          </w:p>
        </w:tc>
        <w:tc>
          <w:tcPr>
            <w:tcW w:type="dxa" w:w="62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indiquer mon moral et ses causes en moins de 10 secondes, afin que ça ne soit jamais une corvée.</w:t>
            </w:r>
          </w:p>
        </w:tc>
      </w:tr>
      <w:tr>
        <w:trPr>
          <w:cantSplit/>
          <w:tblHeader w:val="off"/>
        </w:trPr>
        <w:tc>
          <w:tcPr>
            <w:tcW w:type="dxa" w:w="6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4</w:t>
            </w:r>
          </w:p>
        </w:tc>
        <w:tc>
          <w:tcPr>
            <w:tcW w:type="dxa" w:w="22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Collaborateur</w:t>
            </w:r>
          </w:p>
        </w:tc>
        <w:tc>
          <w:tcPr>
            <w:tcW w:type="dxa" w:w="62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recevoir un rappel quotidien, afin de ne pas oublier.</w:t>
            </w:r>
          </w:p>
        </w:tc>
      </w:tr>
      <w:tr>
        <w:trPr>
          <w:cantSplit/>
          <w:tblHeader w:val="off"/>
        </w:trPr>
        <w:tc>
          <w:tcPr>
            <w:tcW w:type="dxa" w:w="6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5</w:t>
            </w:r>
          </w:p>
        </w:tc>
        <w:tc>
          <w:tcPr>
            <w:tcW w:type="dxa" w:w="22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Manager</w:t>
            </w:r>
          </w:p>
        </w:tc>
        <w:tc>
          <w:tcPr>
            <w:tcW w:type="dxa" w:w="62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faire un pronostic sur le moral de mon équipe, afin de confronter ma perception à la réalité.</w:t>
            </w:r>
          </w:p>
        </w:tc>
      </w:tr>
      <w:tr>
        <w:trPr>
          <w:cantSplit/>
          <w:tblHeader w:val="off"/>
        </w:trPr>
        <w:tc>
          <w:tcPr>
            <w:tcW w:type="dxa" w:w="6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6</w:t>
            </w:r>
          </w:p>
        </w:tc>
        <w:tc>
          <w:tcPr>
            <w:tcW w:type="dxa" w:w="22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Manager</w:t>
            </w:r>
          </w:p>
        </w:tc>
        <w:tc>
          <w:tcPr>
            <w:tcW w:type="dxa" w:w="62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voir sur un seul graphe mon pronostic et le moral réel sur 30 jours, afin de repérer mes angles morts.</w:t>
            </w:r>
          </w:p>
        </w:tc>
      </w:tr>
      <w:tr>
        <w:trPr>
          <w:cantSplit/>
          <w:tblHeader w:val="off"/>
        </w:trPr>
        <w:tc>
          <w:tcPr>
            <w:tcW w:type="dxa" w:w="6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7</w:t>
            </w:r>
          </w:p>
        </w:tc>
        <w:tc>
          <w:tcPr>
            <w:tcW w:type="dxa" w:w="22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Manager</w:t>
            </w:r>
          </w:p>
        </w:tc>
        <w:tc>
          <w:tcPr>
            <w:tcW w:type="dxa" w:w="62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connaître le tag dominant quand l’écart est grand, afin de savoir sur quoi agir.</w:t>
            </w:r>
          </w:p>
        </w:tc>
      </w:tr>
    </w:tbl>
    <w:p>
      <w:pPr>
        <w:pageBreakBefore/>
        <w:spacing w:after="0"/>
      </w:pPr>
      <w:r>
        <w:rPr>
          <w:b/>
          <w:bCs/>
          <w:color w:val="C7D2FE"/>
          <w:sz w:val="72"/>
          <w:szCs w:val="72"/>
        </w:rPr>
        <w:t xml:space="preserve">05</w:t>
      </w:r>
    </w:p>
    <w:p>
      <w:pPr>
        <w:pStyle w:val="Heading1"/>
      </w:pPr>
      <w:bookmarkStart w:name="_Toc5" w:id="5"/>
      <w:r>
        <w:t xml:space="preserve">L’expérience</w:t>
      </w:r>
      <w:bookmarkEnd w:id="5"/>
    </w:p>
    <w:p>
      <w:pPr>
        <w:pBdr>
          <w:bottom w:val="single" w:color="E0E7FF" w:sz="6" w:space="10"/>
        </w:pBdr>
        <w:spacing w:after="280"/>
      </w:pPr>
      <w:r>
        <w:rPr>
          <w:i/>
          <w:iCs/>
          <w:color w:val="6B7280"/>
          <w:sz w:val="24"/>
          <w:szCs w:val="24"/>
        </w:rPr>
        <w:t xml:space="preserve">Trois écrans. Pas un de plus.</w:t>
      </w:r>
    </w:p>
    <w:p>
      <w:pPr>
        <w:spacing w:after="120" w:before="120"/>
        <w:jc w:val="center"/>
      </w:pPr>
      <w:r>
        <w:drawing>
          <wp:inline distT="0" distB="0" distL="0" distR="0">
            <wp:extent cx="5734050" cy="3695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3695700"/>
                    </a:xfrm>
                    <a:prstGeom prst="rect">
                      <a:avLst/>
                    </a:prstGeom>
                  </pic:spPr>
                </pic:pic>
              </a:graphicData>
            </a:graphic>
          </wp:inline>
        </w:drawing>
      </w:r>
    </w:p>
    <w:p>
      <w:pPr>
        <w:spacing w:after="240"/>
        <w:jc w:val="center"/>
      </w:pPr>
      <w:r>
        <w:rPr>
          <w:i/>
          <w:iCs/>
          <w:color w:val="6B7280"/>
          <w:sz w:val="18"/>
          <w:szCs w:val="18"/>
        </w:rPr>
        <w:t xml:space="preserve">Maquettes des trois écrans du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Écran</w:t>
            </w:r>
          </w:p>
        </w:tc>
        <w:tc>
          <w:tcPr>
            <w:tcW w:type="dxa" w:w="6726"/>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Choix de conception</w:t>
            </w:r>
          </w:p>
        </w:tc>
      </w:tr>
      <w:tr>
        <w:trPr>
          <w:cantSplit/>
          <w:tblHeader w:val="off"/>
        </w:trPr>
        <w:tc>
          <w:tcPr>
            <w:tcW w:type="dxa" w:w="23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b/>
                <w:bCs/>
                <w:sz w:val="20"/>
                <w:szCs w:val="20"/>
              </w:rPr>
              <w:t xml:space="preserve">1 · Saisie</w:t>
            </w:r>
          </w:p>
        </w:tc>
        <w:tc>
          <w:tcPr>
            <w:tcW w:type="dxa" w:w="67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Cinq visages expressifs plutôt qu’une note : on répond en un coup d’œil.</w:t>
            </w:r>
          </w:p>
          <w:p>
            <w:pPr>
              <w:spacing w:after="40" w:line="264"/>
            </w:pPr>
            <w:r>
              <w:rPr>
                <w:sz w:val="20"/>
                <w:szCs w:val="20"/>
              </w:rPr>
              <w:t xml:space="preserve">Tags en puces, 1 à 3 maximum. Pas de commentaire libre, pour éviter toute identification.</w:t>
            </w:r>
          </w:p>
          <w:p>
            <w:pPr>
              <w:spacing w:after="40" w:line="264"/>
            </w:pPr>
            <w:r>
              <w:rPr>
                <w:sz w:val="20"/>
                <w:szCs w:val="20"/>
              </w:rPr>
              <w:t xml:space="preserve">Badge « 100 % anonyme » et rappel sous le bouton : la confiance se construit à chaque saisie.</w:t>
            </w:r>
          </w:p>
        </w:tc>
      </w:tr>
      <w:tr>
        <w:trPr>
          <w:cantSplit/>
          <w:tblHeader w:val="off"/>
        </w:trPr>
        <w:tc>
          <w:tcPr>
            <w:tcW w:type="dxa" w:w="23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b/>
                <w:bCs/>
                <w:sz w:val="20"/>
                <w:szCs w:val="20"/>
              </w:rPr>
              <w:t xml:space="preserve">2 · Pronostic</w:t>
            </w:r>
          </w:p>
        </w:tc>
        <w:tc>
          <w:tcPr>
            <w:tcW w:type="dxa" w:w="67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Le pronostic est demandé </w:t>
            </w:r>
            <w:r>
              <w:rPr>
                <w:b/>
                <w:bCs/>
                <w:sz w:val="20"/>
                <w:szCs w:val="20"/>
              </w:rPr>
              <w:t xml:space="preserve">avant</w:t>
            </w:r>
            <w:r>
              <w:rPr>
                <w:sz w:val="20"/>
                <w:szCs w:val="20"/>
              </w:rPr>
              <w:t xml:space="preserve"> l’accès au graphe : impossible de tricher en regardant d’abord.</w:t>
            </w:r>
          </w:p>
          <w:p>
            <w:pPr>
              <w:spacing w:after="40" w:line="264"/>
            </w:pPr>
            <w:r>
              <w:rPr>
                <w:sz w:val="20"/>
                <w:szCs w:val="20"/>
              </w:rPr>
              <w:t xml:space="preserve">Un simple curseur : moins de 5 secondes par semaine.</w:t>
            </w:r>
          </w:p>
        </w:tc>
      </w:tr>
      <w:tr>
        <w:trPr>
          <w:cantSplit/>
          <w:tblHeader w:val="off"/>
        </w:trPr>
        <w:tc>
          <w:tcPr>
            <w:tcW w:type="dxa" w:w="23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b/>
                <w:bCs/>
                <w:sz w:val="20"/>
                <w:szCs w:val="20"/>
              </w:rPr>
              <w:t xml:space="preserve">3 · Le Miroir</w:t>
            </w:r>
          </w:p>
        </w:tc>
        <w:tc>
          <w:tcPr>
            <w:tcW w:type="dxa" w:w="67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Deux indicateurs en haut : l’écart de la semaine et le taux de participation.</w:t>
            </w:r>
          </w:p>
          <w:p>
            <w:pPr>
              <w:spacing w:after="40" w:line="264"/>
            </w:pPr>
            <w:r>
              <w:rPr>
                <w:sz w:val="20"/>
                <w:szCs w:val="20"/>
              </w:rPr>
              <w:t xml:space="preserve">Le graphe unique, puis une alerte « angle mort » et des pistes d’action concrètes.</w:t>
            </w:r>
          </w:p>
        </w:tc>
      </w:tr>
    </w:tbl>
    <w:p>
      <w:pPr>
        <w:pStyle w:val="Heading2"/>
        <w:keepNext/>
      </w:pPr>
      <w:r>
        <w:t xml:space="preserve">Le graphe unique</w:t>
      </w:r>
    </w:p>
    <w:p>
      <w:pPr>
        <w:spacing w:after="120" w:before="120"/>
        <w:jc w:val="center"/>
      </w:pPr>
      <w:r>
        <w:drawing>
          <wp:inline distT="0" distB="0" distL="0" distR="0">
            <wp:extent cx="5734050" cy="30861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3086100"/>
                    </a:xfrm>
                    <a:prstGeom prst="rect">
                      <a:avLst/>
                    </a:prstGeom>
                  </pic:spPr>
                </pic:pic>
              </a:graphicData>
            </a:graphic>
          </wp:inline>
        </w:drawing>
      </w:r>
    </w:p>
    <w:p>
      <w:pPr>
        <w:spacing w:after="240"/>
        <w:jc w:val="center"/>
      </w:pPr>
      <w:r>
        <w:rPr>
          <w:i/>
          <w:iCs/>
          <w:color w:val="6B7280"/>
          <w:sz w:val="18"/>
          <w:szCs w:val="18"/>
        </w:rPr>
        <w:t xml:space="preserve">Scénario de démonstration : le manager surestime le moral, découvre le problème, agit, et l’écart se referme.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Élément</w:t>
            </w:r>
          </w:p>
        </w:tc>
        <w:tc>
          <w:tcPr>
            <w:tcW w:type="dxa" w:w="6426"/>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Règle</w:t>
            </w:r>
          </w:p>
        </w:tc>
      </w:tr>
      <w:tr>
        <w:trPr>
          <w:cantSplit/>
          <w:tblHeader w:val="off"/>
        </w:trPr>
        <w:tc>
          <w:tcPr>
            <w:tcW w:type="dxa" w:w="26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Courbe « Équipe »</w:t>
            </w:r>
          </w:p>
        </w:tc>
        <w:tc>
          <w:tcPr>
            <w:tcW w:type="dxa" w:w="64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Moyenne quotidienne du moral réel, affichée seulement si au moins 5 réponses.</w:t>
            </w:r>
          </w:p>
        </w:tc>
      </w:tr>
      <w:tr>
        <w:trPr>
          <w:cantSplit/>
          <w:tblHeader w:val="off"/>
        </w:trPr>
        <w:tc>
          <w:tcPr>
            <w:tcW w:type="dxa" w:w="26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Courbe « Pronostic »</w:t>
            </w:r>
          </w:p>
        </w:tc>
        <w:tc>
          <w:tcPr>
            <w:tcW w:type="dxa" w:w="64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Pronostic hebdomadaire du manager, affiché en paliers.</w:t>
            </w:r>
          </w:p>
        </w:tc>
      </w:tr>
      <w:tr>
        <w:trPr>
          <w:cantSplit/>
          <w:tblHeader w:val="off"/>
        </w:trPr>
        <w:tc>
          <w:tcPr>
            <w:tcW w:type="dxa" w:w="26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Zone d’écart</w:t>
            </w:r>
          </w:p>
        </w:tc>
        <w:tc>
          <w:tcPr>
            <w:tcW w:type="dxa" w:w="64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Surface colorée entre les deux courbes : on voit l’angle mort d’un seul coup d’œil.</w:t>
            </w:r>
          </w:p>
        </w:tc>
      </w:tr>
      <w:tr>
        <w:trPr>
          <w:cantSplit/>
          <w:tblHeader w:val="off"/>
        </w:trPr>
        <w:tc>
          <w:tcPr>
            <w:tcW w:type="dxa" w:w="26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Annotation</w:t>
            </w:r>
          </w:p>
        </w:tc>
        <w:tc>
          <w:tcPr>
            <w:tcW w:type="dxa" w:w="64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Si l’écart dépasse 1,5 point sur une semaine : bulle avec le tag dominant.</w:t>
            </w:r>
          </w:p>
        </w:tc>
      </w:tr>
    </w:tbl>
    <w:p>
      <w:pPr>
        <w:spacing w:after="120"/>
      </w:pPr>
    </w:p>
    <w:p>
      <w:pPr>
        <w:spacing w:after="140" w:line="300"/>
      </w:pPr>
      <w:r>
        <w:rPr>
          <w:b/>
          <w:bCs/>
        </w:rPr>
        <w:t xml:space="preserve">Tags proposés</w:t>
      </w:r>
      <w:r>
        <w:t xml:space="preserve"> : Charge de travail · Ambiance · Management · Reconnaissance · Équilibre vie pro / perso · Sens du travail · Conditions matérielles · Personnel.</w:t>
      </w:r>
    </w:p>
    <w:p>
      <w:pPr>
        <w:pageBreakBefore/>
        <w:spacing w:after="0"/>
      </w:pPr>
      <w:r>
        <w:rPr>
          <w:b/>
          <w:bCs/>
          <w:color w:val="C7D2FE"/>
          <w:sz w:val="72"/>
          <w:szCs w:val="72"/>
        </w:rPr>
        <w:t xml:space="preserve">06</w:t>
      </w:r>
    </w:p>
    <w:p>
      <w:pPr>
        <w:pStyle w:val="Heading1"/>
      </w:pPr>
      <w:bookmarkStart w:name="_Toc6" w:id="6"/>
      <w:r>
        <w:t xml:space="preserve">Plus-values et différenciation</w:t>
      </w:r>
      <w:bookmarkEnd w:id="6"/>
    </w:p>
    <w:p>
      <w:pPr>
        <w:pBdr>
          <w:bottom w:val="single" w:color="E0E7FF" w:sz="6" w:space="10"/>
        </w:pBdr>
        <w:spacing w:after="280"/>
      </w:pPr>
      <w:r>
        <w:rPr>
          <w:i/>
          <w:iCs/>
          <w:color w:val="6B7280"/>
          <w:sz w:val="24"/>
          <w:szCs w:val="24"/>
        </w:rPr>
        <w:t xml:space="preserve">Pourquoi Moodly ne ressemblera à aucun autre rendu.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cantSplit/>
          <w:tblHeader/>
        </w:trPr>
        <w:tc>
          <w:tcPr>
            <w:tcW w:type="dxa" w:w="25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Critère</w:t>
            </w:r>
          </w:p>
        </w:tc>
        <w:tc>
          <w:tcPr>
            <w:tcW w:type="dxa" w:w="3263"/>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Mood tracker classique</w:t>
            </w:r>
          </w:p>
        </w:tc>
        <w:tc>
          <w:tcPr>
            <w:tcW w:type="dxa" w:w="3263"/>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Moodly, le Miroir</w:t>
            </w:r>
          </w:p>
        </w:tc>
      </w:tr>
      <w:tr>
        <w:trPr>
          <w:cantSplit/>
          <w:tblHeader w:val="off"/>
        </w:trPr>
        <w:tc>
          <w:tcPr>
            <w:tcW w:type="dxa" w:w="25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Ce qui est mesuré</w:t>
            </w:r>
          </w:p>
        </w:tc>
        <w:tc>
          <w:tcPr>
            <w:tcW w:type="dxa" w:w="3263"/>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Le moral de l’équipe</w:t>
            </w:r>
          </w:p>
        </w:tc>
        <w:tc>
          <w:tcPr>
            <w:tcW w:type="dxa" w:w="3263"/>
            <w:tcBorders>
              <w:top w:val="single" w:color="E0E7FF" w:sz="4"/>
              <w:left w:val="single" w:color="E0E7FF" w:sz="4"/>
              <w:bottom w:val="single" w:color="E0E7FF" w:sz="4"/>
              <w:right w:val="single" w:color="E0E7FF" w:sz="4"/>
            </w:tcBorders>
            <w:shd w:fill="D1FAE5" w:color="auto" w:val="clear"/>
            <w:tcMar>
              <w:top w:type="dxa" w:w="90"/>
              <w:left w:type="dxa" w:w="130"/>
              <w:bottom w:type="dxa" w:w="90"/>
              <w:right w:type="dxa" w:w="130"/>
            </w:tcMar>
            <w:vAlign w:val="top"/>
          </w:tcPr>
          <w:p>
            <w:pPr>
              <w:spacing w:after="40" w:line="264"/>
            </w:pPr>
            <w:r>
              <w:rPr>
                <w:sz w:val="20"/>
                <w:szCs w:val="20"/>
              </w:rPr>
              <w:t xml:space="preserve">Le moral </w:t>
            </w:r>
            <w:r>
              <w:rPr>
                <w:b/>
                <w:bCs/>
                <w:sz w:val="20"/>
                <w:szCs w:val="20"/>
              </w:rPr>
              <w:t xml:space="preserve">et</w:t>
            </w:r>
            <w:r>
              <w:rPr>
                <w:sz w:val="20"/>
                <w:szCs w:val="20"/>
              </w:rPr>
              <w:t xml:space="preserve"> l’écart avec la perception du manager</w:t>
            </w:r>
          </w:p>
        </w:tc>
      </w:tr>
      <w:tr>
        <w:trPr>
          <w:cantSplit/>
          <w:tblHeader w:val="off"/>
        </w:trPr>
        <w:tc>
          <w:tcPr>
            <w:tcW w:type="dxa" w:w="25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Rôle du manager</w:t>
            </w:r>
          </w:p>
        </w:tc>
        <w:tc>
          <w:tcPr>
            <w:tcW w:type="dxa" w:w="3263"/>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Spectateur d’un graphe</w:t>
            </w:r>
          </w:p>
        </w:tc>
        <w:tc>
          <w:tcPr>
            <w:tcW w:type="dxa" w:w="3263"/>
            <w:tcBorders>
              <w:top w:val="single" w:color="E0E7FF" w:sz="4"/>
              <w:left w:val="single" w:color="E0E7FF" w:sz="4"/>
              <w:bottom w:val="single" w:color="E0E7FF" w:sz="4"/>
              <w:right w:val="single" w:color="E0E7FF" w:sz="4"/>
            </w:tcBorders>
            <w:shd w:fill="D1FAE5" w:color="auto" w:val="clear"/>
            <w:tcMar>
              <w:top w:type="dxa" w:w="90"/>
              <w:left w:type="dxa" w:w="130"/>
              <w:bottom w:type="dxa" w:w="90"/>
              <w:right w:type="dxa" w:w="130"/>
            </w:tcMar>
            <w:vAlign w:val="top"/>
          </w:tcPr>
          <w:p>
            <w:pPr>
              <w:spacing w:after="40" w:line="264"/>
            </w:pPr>
            <w:r>
              <w:rPr>
                <w:sz w:val="20"/>
                <w:szCs w:val="20"/>
              </w:rPr>
              <w:t xml:space="preserve">Acteur : il s’engage par un pronostic avant de voir</w:t>
            </w:r>
          </w:p>
        </w:tc>
      </w:tr>
      <w:tr>
        <w:trPr>
          <w:cantSplit/>
          <w:tblHeader w:val="off"/>
        </w:trPr>
        <w:tc>
          <w:tcPr>
            <w:tcW w:type="dxa" w:w="25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Aide à la décision</w:t>
            </w:r>
          </w:p>
        </w:tc>
        <w:tc>
          <w:tcPr>
            <w:tcW w:type="dxa" w:w="3263"/>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Constat brut</w:t>
            </w:r>
          </w:p>
        </w:tc>
        <w:tc>
          <w:tcPr>
            <w:tcW w:type="dxa" w:w="3263"/>
            <w:tcBorders>
              <w:top w:val="single" w:color="E0E7FF" w:sz="4"/>
              <w:left w:val="single" w:color="E0E7FF" w:sz="4"/>
              <w:bottom w:val="single" w:color="E0E7FF" w:sz="4"/>
              <w:right w:val="single" w:color="E0E7FF" w:sz="4"/>
            </w:tcBorders>
            <w:shd w:fill="D1FAE5" w:color="auto" w:val="clear"/>
            <w:tcMar>
              <w:top w:type="dxa" w:w="90"/>
              <w:left w:type="dxa" w:w="130"/>
              <w:bottom w:type="dxa" w:w="90"/>
              <w:right w:type="dxa" w:w="130"/>
            </w:tcMar>
            <w:vAlign w:val="top"/>
          </w:tcPr>
          <w:p>
            <w:pPr>
              <w:spacing w:after="40" w:line="264"/>
            </w:pPr>
            <w:r>
              <w:rPr>
                <w:sz w:val="20"/>
                <w:szCs w:val="20"/>
              </w:rPr>
              <w:t xml:space="preserve">Écart + tag dominant + pistes d’action</w:t>
            </w:r>
          </w:p>
        </w:tc>
      </w:tr>
      <w:tr>
        <w:trPr>
          <w:cantSplit/>
          <w:tblHeader w:val="off"/>
        </w:trPr>
        <w:tc>
          <w:tcPr>
            <w:tcW w:type="dxa" w:w="25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Indicateur de succès</w:t>
            </w:r>
          </w:p>
        </w:tc>
        <w:tc>
          <w:tcPr>
            <w:tcW w:type="dxa" w:w="3263"/>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Aucun</w:t>
            </w:r>
          </w:p>
        </w:tc>
        <w:tc>
          <w:tcPr>
            <w:tcW w:type="dxa" w:w="3263"/>
            <w:tcBorders>
              <w:top w:val="single" w:color="E0E7FF" w:sz="4"/>
              <w:left w:val="single" w:color="E0E7FF" w:sz="4"/>
              <w:bottom w:val="single" w:color="E0E7FF" w:sz="4"/>
              <w:right w:val="single" w:color="E0E7FF" w:sz="4"/>
            </w:tcBorders>
            <w:shd w:fill="D1FAE5" w:color="auto" w:val="clear"/>
            <w:tcMar>
              <w:top w:type="dxa" w:w="90"/>
              <w:left w:type="dxa" w:w="130"/>
              <w:bottom w:type="dxa" w:w="90"/>
              <w:right w:type="dxa" w:w="130"/>
            </w:tcMar>
            <w:vAlign w:val="top"/>
          </w:tcPr>
          <w:p>
            <w:pPr>
              <w:spacing w:after="40" w:line="264"/>
            </w:pPr>
            <w:r>
              <w:rPr>
                <w:sz w:val="20"/>
                <w:szCs w:val="20"/>
              </w:rPr>
              <w:t xml:space="preserve">L’écart qui se réduit</w:t>
            </w:r>
          </w:p>
        </w:tc>
      </w:tr>
      <w:tr>
        <w:trPr>
          <w:cantSplit/>
          <w:tblHeader w:val="off"/>
        </w:trPr>
        <w:tc>
          <w:tcPr>
            <w:tcW w:type="dxa" w:w="25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Anonymat</w:t>
            </w:r>
          </w:p>
        </w:tc>
        <w:tc>
          <w:tcPr>
            <w:tcW w:type="dxa" w:w="3263"/>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Une promesse</w:t>
            </w:r>
          </w:p>
        </w:tc>
        <w:tc>
          <w:tcPr>
            <w:tcW w:type="dxa" w:w="3263"/>
            <w:tcBorders>
              <w:top w:val="single" w:color="E0E7FF" w:sz="4"/>
              <w:left w:val="single" w:color="E0E7FF" w:sz="4"/>
              <w:bottom w:val="single" w:color="E0E7FF" w:sz="4"/>
              <w:right w:val="single" w:color="E0E7FF" w:sz="4"/>
            </w:tcBorders>
            <w:shd w:fill="D1FAE5" w:color="auto" w:val="clear"/>
            <w:tcMar>
              <w:top w:type="dxa" w:w="90"/>
              <w:left w:type="dxa" w:w="130"/>
              <w:bottom w:type="dxa" w:w="90"/>
              <w:right w:type="dxa" w:w="130"/>
            </w:tcMar>
            <w:vAlign w:val="top"/>
          </w:tcPr>
          <w:p>
            <w:pPr>
              <w:spacing w:after="40" w:line="264"/>
            </w:pPr>
            <w:r>
              <w:rPr>
                <w:sz w:val="20"/>
                <w:szCs w:val="20"/>
              </w:rPr>
              <w:t xml:space="preserve">Une garantie technique (RLS + seuil)</w:t>
            </w:r>
          </w:p>
        </w:tc>
      </w:tr>
      <w:tr>
        <w:trPr>
          <w:cantSplit/>
          <w:tblHeader w:val="off"/>
        </w:trPr>
        <w:tc>
          <w:tcPr>
            <w:tcW w:type="dxa" w:w="25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Application</w:t>
            </w:r>
          </w:p>
        </w:tc>
        <w:tc>
          <w:tcPr>
            <w:tcW w:type="dxa" w:w="3263"/>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Souvent une web app</w:t>
            </w:r>
          </w:p>
        </w:tc>
        <w:tc>
          <w:tcPr>
            <w:tcW w:type="dxa" w:w="3263"/>
            <w:tcBorders>
              <w:top w:val="single" w:color="E0E7FF" w:sz="4"/>
              <w:left w:val="single" w:color="E0E7FF" w:sz="4"/>
              <w:bottom w:val="single" w:color="E0E7FF" w:sz="4"/>
              <w:right w:val="single" w:color="E0E7FF" w:sz="4"/>
            </w:tcBorders>
            <w:shd w:fill="D1FAE5" w:color="auto" w:val="clear"/>
            <w:tcMar>
              <w:top w:type="dxa" w:w="90"/>
              <w:left w:type="dxa" w:w="130"/>
              <w:bottom w:type="dxa" w:w="90"/>
              <w:right w:type="dxa" w:w="130"/>
            </w:tcMar>
            <w:vAlign w:val="top"/>
          </w:tcPr>
          <w:p>
            <w:pPr>
              <w:spacing w:after="40" w:line="264"/>
            </w:pPr>
            <w:r>
              <w:rPr>
                <w:sz w:val="20"/>
                <w:szCs w:val="20"/>
              </w:rPr>
              <w:t xml:space="preserve">App native iOS et Android</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FFFFFF" w:sz="4"/>
              <w:left w:val="single" w:color="FFFFFF" w:sz="48"/>
              <w:bottom w:val="single" w:color="FFFFFF" w:sz="48"/>
              <w:right w:val="single" w:color="FFFFFF" w:sz="48"/>
            </w:tcBorders>
            <w:shd w:fill="EEF2FF" w:color="auto" w:val="clear"/>
            <w:tcMar>
              <w:top w:type="dxa" w:w="200"/>
              <w:left w:type="dxa" w:w="240"/>
              <w:bottom w:type="dxa" w:w="200"/>
              <w:right w:type="dxa" w:w="240"/>
            </w:tcMar>
          </w:tcPr>
          <w:p>
            <w:pPr>
              <w:spacing w:after="60"/>
            </w:pPr>
            <w:r>
              <w:rPr>
                <w:b/>
                <w:bCs/>
                <w:color w:val="4F46E5"/>
                <w:spacing w:val="30"/>
                <w:sz w:val="17"/>
                <w:szCs w:val="17"/>
              </w:rPr>
              <w:t xml:space="preserve">PLUS-VALUE 1</w:t>
            </w:r>
          </w:p>
          <w:p>
            <w:pPr>
              <w:spacing w:after="80"/>
            </w:pPr>
            <w:r>
              <w:rPr>
                <w:b/>
                <w:bCs/>
                <w:color w:val="1E1B4B"/>
                <w:sz w:val="26"/>
                <w:szCs w:val="26"/>
              </w:rPr>
              <w:t xml:space="preserve">Répond au vrai chiffre</w:t>
            </w:r>
          </w:p>
          <w:p>
            <w:pPr>
              <w:spacing w:after="40" w:line="276"/>
            </w:pPr>
            <w:r>
              <w:rPr>
                <w:sz w:val="20"/>
                <w:szCs w:val="20"/>
              </w:rPr>
              <w:t xml:space="preserve">50 % des salariés pensent que leur détresse est ignorée. Moodly rend cette ignorance visible et mesurable.</w:t>
            </w:r>
          </w:p>
        </w:tc>
        <w:tc>
          <w:tcPr>
            <w:tcW w:type="dxa" w:w="4513"/>
            <w:tcBorders>
              <w:top w:val="single" w:color="FFFFFF" w:sz="4"/>
              <w:left w:val="single" w:color="FFFFFF" w:sz="48"/>
              <w:bottom w:val="single" w:color="FFFFFF" w:sz="48"/>
              <w:right w:val="single" w:color="FFFFFF" w:sz="48"/>
            </w:tcBorders>
            <w:shd w:fill="EEF2FF" w:color="auto" w:val="clear"/>
            <w:tcMar>
              <w:top w:type="dxa" w:w="200"/>
              <w:left w:type="dxa" w:w="240"/>
              <w:bottom w:type="dxa" w:w="200"/>
              <w:right w:type="dxa" w:w="240"/>
            </w:tcMar>
          </w:tcPr>
          <w:p>
            <w:pPr>
              <w:spacing w:after="60"/>
            </w:pPr>
            <w:r>
              <w:rPr>
                <w:b/>
                <w:bCs/>
                <w:color w:val="4F46E5"/>
                <w:spacing w:val="30"/>
                <w:sz w:val="17"/>
                <w:szCs w:val="17"/>
              </w:rPr>
              <w:t xml:space="preserve">PLUS-VALUE 2</w:t>
            </w:r>
          </w:p>
          <w:p>
            <w:pPr>
              <w:spacing w:after="80"/>
            </w:pPr>
            <w:r>
              <w:rPr>
                <w:b/>
                <w:bCs/>
                <w:color w:val="1E1B4B"/>
                <w:sz w:val="26"/>
                <w:szCs w:val="26"/>
              </w:rPr>
              <w:t xml:space="preserve">Engage le manager</w:t>
            </w:r>
          </w:p>
          <w:p>
            <w:pPr>
              <w:spacing w:after="40" w:line="276"/>
            </w:pPr>
            <w:r>
              <w:rPr>
                <w:sz w:val="20"/>
                <w:szCs w:val="20"/>
              </w:rPr>
              <w:t xml:space="preserve">Faire un pronostic oblige à penser à son équipe chaque semaine. C’est un exercice d’empathie actif.</w:t>
            </w:r>
          </w:p>
        </w:tc>
      </w:tr>
      <w:tr>
        <w:trPr>
          <w:cantSplit/>
        </w:trPr>
        <w:tc>
          <w:tcPr>
            <w:tcW w:type="dxa" w:w="4513"/>
            <w:tcBorders>
              <w:top w:val="single" w:color="FFFFFF" w:sz="4"/>
              <w:left w:val="single" w:color="FFFFFF" w:sz="48"/>
              <w:bottom w:val="single" w:color="FFFFFF" w:sz="48"/>
              <w:right w:val="single" w:color="FFFFFF" w:sz="48"/>
            </w:tcBorders>
            <w:shd w:fill="EEF2FF" w:color="auto" w:val="clear"/>
            <w:tcMar>
              <w:top w:type="dxa" w:w="200"/>
              <w:left w:type="dxa" w:w="240"/>
              <w:bottom w:type="dxa" w:w="200"/>
              <w:right w:type="dxa" w:w="240"/>
            </w:tcMar>
          </w:tcPr>
          <w:p>
            <w:pPr>
              <w:spacing w:after="60"/>
            </w:pPr>
            <w:r>
              <w:rPr>
                <w:b/>
                <w:bCs/>
                <w:color w:val="4F46E5"/>
                <w:spacing w:val="30"/>
                <w:sz w:val="17"/>
                <w:szCs w:val="17"/>
              </w:rPr>
              <w:t xml:space="preserve">PLUS-VALUE 3</w:t>
            </w:r>
          </w:p>
          <w:p>
            <w:pPr>
              <w:spacing w:after="80"/>
            </w:pPr>
            <w:r>
              <w:rPr>
                <w:b/>
                <w:bCs/>
                <w:color w:val="1E1B4B"/>
                <w:sz w:val="26"/>
                <w:szCs w:val="26"/>
              </w:rPr>
              <w:t xml:space="preserve">Mène à l’action</w:t>
            </w:r>
          </w:p>
          <w:p>
            <w:pPr>
              <w:spacing w:after="40" w:line="276"/>
            </w:pPr>
            <w:r>
              <w:rPr>
                <w:sz w:val="20"/>
                <w:szCs w:val="20"/>
              </w:rPr>
              <w:t xml:space="preserve">L’écart et le tag dominant transforment un graphe en décision concrète.</w:t>
            </w:r>
          </w:p>
        </w:tc>
        <w:tc>
          <w:tcPr>
            <w:tcW w:type="dxa" w:w="4513"/>
            <w:tcBorders>
              <w:top w:val="single" w:color="FFFFFF" w:sz="4"/>
              <w:left w:val="single" w:color="FFFFFF" w:sz="48"/>
              <w:bottom w:val="single" w:color="FFFFFF" w:sz="48"/>
              <w:right w:val="single" w:color="FFFFFF" w:sz="48"/>
            </w:tcBorders>
            <w:shd w:fill="EEF2FF" w:color="auto" w:val="clear"/>
            <w:tcMar>
              <w:top w:type="dxa" w:w="200"/>
              <w:left w:type="dxa" w:w="240"/>
              <w:bottom w:type="dxa" w:w="200"/>
              <w:right w:type="dxa" w:w="240"/>
            </w:tcMar>
          </w:tcPr>
          <w:p>
            <w:pPr>
              <w:spacing w:after="60"/>
            </w:pPr>
            <w:r>
              <w:rPr>
                <w:b/>
                <w:bCs/>
                <w:color w:val="4F46E5"/>
                <w:spacing w:val="30"/>
                <w:sz w:val="17"/>
                <w:szCs w:val="17"/>
              </w:rPr>
              <w:t xml:space="preserve">PLUS-VALUE 4</w:t>
            </w:r>
          </w:p>
          <w:p>
            <w:pPr>
              <w:spacing w:after="80"/>
            </w:pPr>
            <w:r>
              <w:rPr>
                <w:b/>
                <w:bCs/>
                <w:color w:val="1E1B4B"/>
                <w:sz w:val="26"/>
                <w:szCs w:val="26"/>
              </w:rPr>
              <w:t xml:space="preserve">Prouve l’anonymat</w:t>
            </w:r>
          </w:p>
          <w:p>
            <w:pPr>
              <w:spacing w:after="40" w:line="276"/>
            </w:pPr>
            <w:r>
              <w:rPr>
                <w:sz w:val="20"/>
                <w:szCs w:val="20"/>
              </w:rPr>
              <w:t xml:space="preserve">La base de données refuse toute lecture individuelle. « Prove it, instead of faking it. »</w:t>
            </w:r>
          </w:p>
        </w:tc>
      </w:tr>
      <w:tr>
        <w:trPr>
          <w:cantSplit/>
        </w:trPr>
        <w:tc>
          <w:tcPr>
            <w:tcW w:type="dxa" w:w="4513"/>
            <w:tcBorders>
              <w:top w:val="single" w:color="FFFFFF" w:sz="4"/>
              <w:left w:val="single" w:color="FFFFFF" w:sz="48"/>
              <w:bottom w:val="single" w:color="FFFFFF" w:sz="48"/>
              <w:right w:val="single" w:color="FFFFFF" w:sz="48"/>
            </w:tcBorders>
            <w:shd w:fill="EEF2FF" w:color="auto" w:val="clear"/>
            <w:tcMar>
              <w:top w:type="dxa" w:w="200"/>
              <w:left w:type="dxa" w:w="240"/>
              <w:bottom w:type="dxa" w:w="200"/>
              <w:right w:type="dxa" w:w="240"/>
            </w:tcMar>
          </w:tcPr>
          <w:p>
            <w:pPr>
              <w:spacing w:after="60"/>
            </w:pPr>
            <w:r>
              <w:rPr>
                <w:b/>
                <w:bCs/>
                <w:color w:val="4F46E5"/>
                <w:spacing w:val="30"/>
                <w:sz w:val="17"/>
                <w:szCs w:val="17"/>
              </w:rPr>
              <w:t xml:space="preserve">PLUS-VALUE 5</w:t>
            </w:r>
          </w:p>
          <w:p>
            <w:pPr>
              <w:spacing w:after="80"/>
            </w:pPr>
            <w:r>
              <w:rPr>
                <w:b/>
                <w:bCs/>
                <w:color w:val="1E1B4B"/>
                <w:sz w:val="26"/>
                <w:szCs w:val="26"/>
              </w:rPr>
              <w:t xml:space="preserve">Auto-coaching, pas surveillance</w:t>
            </w:r>
          </w:p>
          <w:p>
            <w:pPr>
              <w:spacing w:after="40" w:line="276"/>
            </w:pPr>
            <w:r>
              <w:rPr>
                <w:sz w:val="20"/>
                <w:szCs w:val="20"/>
              </w:rPr>
              <w:t xml:space="preserve">L’écart n’est visible que par le manager lui-même, ce qui facilite l’adoption.</w:t>
            </w:r>
          </w:p>
        </w:tc>
        <w:tc>
          <w:tcPr>
            <w:tcW w:type="dxa" w:w="4513"/>
            <w:tcBorders>
              <w:top w:val="single" w:color="FFFFFF" w:sz="4"/>
              <w:left w:val="single" w:color="FFFFFF" w:sz="48"/>
              <w:bottom w:val="single" w:color="FFFFFF" w:sz="48"/>
              <w:right w:val="single" w:color="FFFFFF" w:sz="48"/>
            </w:tcBorders>
            <w:shd w:fill="EEF2FF" w:color="auto" w:val="clear"/>
            <w:tcMar>
              <w:top w:type="dxa" w:w="200"/>
              <w:left w:type="dxa" w:w="240"/>
              <w:bottom w:type="dxa" w:w="200"/>
              <w:right w:type="dxa" w:w="240"/>
            </w:tcMar>
          </w:tcPr>
          <w:p>
            <w:pPr>
              <w:spacing w:after="60"/>
            </w:pPr>
            <w:r>
              <w:rPr>
                <w:b/>
                <w:bCs/>
                <w:color w:val="4F46E5"/>
                <w:spacing w:val="30"/>
                <w:sz w:val="17"/>
                <w:szCs w:val="17"/>
              </w:rPr>
              <w:t xml:space="preserve">PLUS-VALUE 6</w:t>
            </w:r>
          </w:p>
          <w:p>
            <w:pPr>
              <w:spacing w:after="80"/>
            </w:pPr>
            <w:r>
              <w:rPr>
                <w:b/>
                <w:bCs/>
                <w:color w:val="1E1B4B"/>
                <w:sz w:val="26"/>
                <w:szCs w:val="26"/>
              </w:rPr>
              <w:t xml:space="preserve">Respecte le brief</w:t>
            </w:r>
          </w:p>
          <w:p>
            <w:pPr>
              <w:spacing w:after="40" w:line="276"/>
            </w:pPr>
            <w:r>
              <w:rPr>
                <w:sz w:val="20"/>
                <w:szCs w:val="20"/>
              </w:rPr>
              <w:t xml:space="preserve">Un seul graphe, trois écrans. L’innovation est dans le concept, pas dans l’accumulation.</w:t>
            </w:r>
          </w:p>
        </w:tc>
      </w:tr>
    </w:tbl>
    <w:p>
      <w:pPr>
        <w:pageBreakBefore/>
        <w:spacing w:after="0"/>
      </w:pPr>
      <w:r>
        <w:rPr>
          <w:b/>
          <w:bCs/>
          <w:color w:val="C7D2FE"/>
          <w:sz w:val="72"/>
          <w:szCs w:val="72"/>
        </w:rPr>
        <w:t xml:space="preserve">07</w:t>
      </w:r>
    </w:p>
    <w:p>
      <w:pPr>
        <w:pStyle w:val="Heading1"/>
      </w:pPr>
      <w:bookmarkStart w:name="_Toc7" w:id="7"/>
      <w:r>
        <w:t xml:space="preserve">Éthique, anonymat et adoption</w:t>
      </w:r>
      <w:bookmarkEnd w:id="7"/>
    </w:p>
    <w:p>
      <w:pPr>
        <w:pBdr>
          <w:bottom w:val="single" w:color="E0E7FF" w:sz="6" w:space="10"/>
        </w:pBdr>
        <w:spacing w:after="280"/>
      </w:pPr>
      <w:r>
        <w:rPr>
          <w:i/>
          <w:iCs/>
          <w:color w:val="6B7280"/>
          <w:sz w:val="24"/>
          <w:szCs w:val="24"/>
        </w:rPr>
        <w:t xml:space="preserve">Une maladresse sur la confiance, et personne ne répond plus.</w:t>
      </w:r>
    </w:p>
    <w:p>
      <w:pPr>
        <w:pStyle w:val="Heading2"/>
        <w:keepNext/>
      </w:pPr>
      <w:r>
        <w:t xml:space="preserve">Anonymat par conception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rPr>
          <w:cantSplit/>
          <w:tblHeader/>
        </w:trPr>
        <w:tc>
          <w:tcPr>
            <w:tcW w:type="dxa" w:w="6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w:t>
            </w:r>
          </w:p>
        </w:tc>
        <w:tc>
          <w:tcPr>
            <w:tcW w:type="dxa" w:w="26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Garantie</w:t>
            </w:r>
          </w:p>
        </w:tc>
        <w:tc>
          <w:tcPr>
            <w:tcW w:type="dxa" w:w="5826"/>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Comment</w:t>
            </w:r>
          </w:p>
        </w:tc>
      </w:tr>
      <w:tr>
        <w:trPr>
          <w:cantSplit/>
          <w:tblHeader w:val="off"/>
        </w:trPr>
        <w:tc>
          <w:tcPr>
            <w:tcW w:type="dxa" w:w="6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1</w:t>
            </w:r>
          </w:p>
        </w:tc>
        <w:tc>
          <w:tcPr>
            <w:tcW w:type="dxa" w:w="26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b/>
                <w:bCs/>
                <w:sz w:val="20"/>
                <w:szCs w:val="20"/>
              </w:rPr>
              <w:t xml:space="preserve">Pas d’identité stockée</w:t>
            </w:r>
          </w:p>
        </w:tc>
        <w:tc>
          <w:tcPr>
            <w:tcW w:type="dxa" w:w="58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La table des réponses n’a pas de colonne utilisateur. Une empreinte (hash de l’utilisateur, du jour et d’un sel secret) empêche seulement les doubles saisies.</w:t>
            </w:r>
          </w:p>
        </w:tc>
      </w:tr>
      <w:tr>
        <w:trPr>
          <w:cantSplit/>
          <w:tblHeader w:val="off"/>
        </w:trPr>
        <w:tc>
          <w:tcPr>
            <w:tcW w:type="dxa" w:w="6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2</w:t>
            </w:r>
          </w:p>
        </w:tc>
        <w:tc>
          <w:tcPr>
            <w:tcW w:type="dxa" w:w="26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b/>
                <w:bCs/>
                <w:sz w:val="20"/>
                <w:szCs w:val="20"/>
              </w:rPr>
              <w:t xml:space="preserve">Lecture impossible</w:t>
            </w:r>
          </w:p>
        </w:tc>
        <w:tc>
          <w:tcPr>
            <w:tcW w:type="dxa" w:w="58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Row Level Security activée sans aucune règle de lecture : ni l’application, ni le manager ne peuvent lire les réponses brutes.</w:t>
            </w:r>
          </w:p>
        </w:tc>
      </w:tr>
      <w:tr>
        <w:trPr>
          <w:cantSplit/>
          <w:tblHeader w:val="off"/>
        </w:trPr>
        <w:tc>
          <w:tcPr>
            <w:tcW w:type="dxa" w:w="6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3</w:t>
            </w:r>
          </w:p>
        </w:tc>
        <w:tc>
          <w:tcPr>
            <w:tcW w:type="dxa" w:w="26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b/>
                <w:bCs/>
                <w:sz w:val="20"/>
                <w:szCs w:val="20"/>
              </w:rPr>
              <w:t xml:space="preserve">Agrégats uniquement</w:t>
            </w:r>
          </w:p>
        </w:tc>
        <w:tc>
          <w:tcPr>
            <w:tcW w:type="dxa" w:w="58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Le manager passe par une seule fonction SQL qui renvoie des moyennes d’équipe.</w:t>
            </w:r>
          </w:p>
        </w:tc>
      </w:tr>
      <w:tr>
        <w:trPr>
          <w:cantSplit/>
          <w:tblHeader w:val="off"/>
        </w:trPr>
        <w:tc>
          <w:tcPr>
            <w:tcW w:type="dxa" w:w="6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4</w:t>
            </w:r>
          </w:p>
        </w:tc>
        <w:tc>
          <w:tcPr>
            <w:tcW w:type="dxa" w:w="26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b/>
                <w:bCs/>
                <w:sz w:val="20"/>
                <w:szCs w:val="20"/>
              </w:rPr>
              <w:t xml:space="preserve">Seuil minimal</w:t>
            </w:r>
          </w:p>
        </w:tc>
        <w:tc>
          <w:tcPr>
            <w:tcW w:type="dxa" w:w="58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Aucune moyenne affichée en dessous de 5 réponses : impossible de deviner une réponse par déduction.</w:t>
            </w:r>
          </w:p>
        </w:tc>
      </w:tr>
      <w:tr>
        <w:trPr>
          <w:cantSplit/>
          <w:tblHeader w:val="off"/>
        </w:trPr>
        <w:tc>
          <w:tcPr>
            <w:tcW w:type="dxa" w:w="6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5</w:t>
            </w:r>
          </w:p>
        </w:tc>
        <w:tc>
          <w:tcPr>
            <w:tcW w:type="dxa" w:w="26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b/>
                <w:bCs/>
                <w:sz w:val="20"/>
                <w:szCs w:val="20"/>
              </w:rPr>
              <w:t xml:space="preserve">Minimisation</w:t>
            </w:r>
          </w:p>
        </w:tc>
        <w:tc>
          <w:tcPr>
            <w:tcW w:type="dxa" w:w="58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Score, tags, jour, équipe. Pas de commentaire libre, pas de géolocalisation, pas de données d’appareil.</w:t>
            </w:r>
          </w:p>
        </w:tc>
      </w:tr>
    </w:tbl>
    <w:p>
      <w:pPr>
        <w:spacing w:after="120"/>
      </w:pPr>
    </w:p>
    <w:p>
      <w:pPr>
        <w:pStyle w:val="Heading2"/>
        <w:keepNext/>
      </w:pPr>
      <w:r>
        <w:t xml:space="preserve">Conformité RGPD</w:t>
      </w:r>
    </w:p>
    <w:p>
      <w:pPr>
        <w:spacing w:after="140" w:line="300"/>
      </w:pPr>
      <w:r>
        <w:t xml:space="preserve">Les informations sur le moral peuvent toucher à la santé, une catégorie de données particulièrement protégée par le RGPD. Pour une mise en production réelle, il faudrait formaliser une base légale, une durée de conservation limitée (par exemple 90 jours de données brutes), une information claire des utilisateurs et une analyse d’impact. Le MVP intègre déjà l’écran d’information à l’onboarding, la minimisation, et une architecture qui rend l’identification techniquement impossible.</w:t>
      </w:r>
    </w:p>
    <w:p>
      <w:pPr>
        <w:pStyle w:val="Heading2"/>
        <w:keepNext/>
      </w:pPr>
      <w:r>
        <w:t xml:space="preserve">Conduite du changement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FFFFFF" w:sz="4"/>
              <w:left w:val="single" w:color="FFFFFF" w:sz="48"/>
              <w:bottom w:val="single" w:color="FFFFFF" w:sz="48"/>
              <w:right w:val="single" w:color="FFFFFF" w:sz="48"/>
            </w:tcBorders>
            <w:shd w:fill="EEF2FF" w:color="auto" w:val="clear"/>
            <w:tcMar>
              <w:top w:type="dxa" w:w="200"/>
              <w:left w:type="dxa" w:w="240"/>
              <w:bottom w:type="dxa" w:w="200"/>
              <w:right w:type="dxa" w:w="240"/>
            </w:tcMar>
          </w:tcPr>
          <w:p>
            <w:pPr>
              <w:spacing w:after="60"/>
            </w:pPr>
            <w:r>
              <w:rPr>
                <w:b/>
                <w:bCs/>
                <w:color w:val="4F46E5"/>
                <w:spacing w:val="30"/>
                <w:sz w:val="17"/>
                <w:szCs w:val="17"/>
              </w:rPr>
              <w:t xml:space="preserve">COLLABORATEURS</w:t>
            </w:r>
          </w:p>
          <w:p>
            <w:pPr>
              <w:spacing w:after="80"/>
            </w:pPr>
            <w:r>
              <w:rPr>
                <w:b/>
                <w:bCs/>
                <w:color w:val="1E1B4B"/>
                <w:sz w:val="26"/>
                <w:szCs w:val="26"/>
              </w:rPr>
              <w:t xml:space="preserve">Donner envie de répondre</w:t>
            </w:r>
          </w:p>
          <w:p>
            <w:pPr>
              <w:spacing w:after="40" w:line="276"/>
            </w:pPr>
            <w:r>
              <w:rPr>
                <w:sz w:val="20"/>
                <w:szCs w:val="20"/>
              </w:rPr>
              <w:t xml:space="preserve">Expliquer le « pourquoi » dès l’onboarding.</w:t>
            </w:r>
          </w:p>
          <w:p>
            <w:pPr>
              <w:spacing w:after="40" w:line="276"/>
            </w:pPr>
            <w:r>
              <w:rPr>
                <w:sz w:val="20"/>
                <w:szCs w:val="20"/>
              </w:rPr>
              <w:t xml:space="preserve">Montrer concrètement pourquoi le manager ne peut pas les identifier.</w:t>
            </w:r>
          </w:p>
          <w:p>
            <w:pPr>
              <w:spacing w:after="40" w:line="276"/>
            </w:pPr>
            <w:r>
              <w:rPr>
                <w:sz w:val="20"/>
                <w:szCs w:val="20"/>
              </w:rPr>
              <w:t xml:space="preserve">Saisie en moins de 10 s, rappel quotidien.</w:t>
            </w:r>
          </w:p>
        </w:tc>
        <w:tc>
          <w:tcPr>
            <w:tcW w:type="dxa" w:w="4513"/>
            <w:tcBorders>
              <w:top w:val="single" w:color="FFFFFF" w:sz="4"/>
              <w:left w:val="single" w:color="FFFFFF" w:sz="48"/>
              <w:bottom w:val="single" w:color="FFFFFF" w:sz="48"/>
              <w:right w:val="single" w:color="FFFFFF" w:sz="48"/>
            </w:tcBorders>
            <w:shd w:fill="D1FAE5" w:color="auto" w:val="clear"/>
            <w:tcMar>
              <w:top w:type="dxa" w:w="200"/>
              <w:left w:type="dxa" w:w="240"/>
              <w:bottom w:type="dxa" w:w="200"/>
              <w:right w:type="dxa" w:w="240"/>
            </w:tcMar>
          </w:tcPr>
          <w:p>
            <w:pPr>
              <w:spacing w:after="60"/>
            </w:pPr>
            <w:r>
              <w:rPr>
                <w:b/>
                <w:bCs/>
                <w:color w:val="047857"/>
                <w:spacing w:val="30"/>
                <w:sz w:val="17"/>
                <w:szCs w:val="17"/>
              </w:rPr>
              <w:t xml:space="preserve">MANAGERS</w:t>
            </w:r>
          </w:p>
          <w:p>
            <w:pPr>
              <w:spacing w:after="80"/>
            </w:pPr>
            <w:r>
              <w:rPr>
                <w:b/>
                <w:bCs/>
                <w:color w:val="1E1B4B"/>
                <w:sz w:val="26"/>
                <w:szCs w:val="26"/>
              </w:rPr>
              <w:t xml:space="preserve">Ne pas se sentir jugé</w:t>
            </w:r>
          </w:p>
          <w:p>
            <w:pPr>
              <w:spacing w:after="40" w:line="276"/>
            </w:pPr>
            <w:r>
              <w:rPr>
                <w:sz w:val="20"/>
                <w:szCs w:val="20"/>
              </w:rPr>
              <w:t xml:space="preserve">Présenter Moodly comme un outil d’auto-coaching.</w:t>
            </w:r>
          </w:p>
          <w:p>
            <w:pPr>
              <w:spacing w:after="40" w:line="276"/>
            </w:pPr>
            <w:r>
              <w:rPr>
                <w:sz w:val="20"/>
                <w:szCs w:val="20"/>
              </w:rPr>
              <w:t xml:space="preserve">L’écart est privé : ni hiérarchie ni RH.</w:t>
            </w:r>
          </w:p>
          <w:p>
            <w:pPr>
              <w:spacing w:after="40" w:line="276"/>
            </w:pPr>
            <w:r>
              <w:rPr>
                <w:sz w:val="20"/>
                <w:szCs w:val="20"/>
              </w:rPr>
              <w:t xml:space="preserve">Valoriser la progression plutôt que la note.</w:t>
            </w:r>
          </w:p>
        </w:tc>
      </w:tr>
    </w:tbl>
    <w:p>
      <w:pPr>
        <w:pageBreakBefore/>
        <w:spacing w:after="0"/>
      </w:pPr>
      <w:r>
        <w:rPr>
          <w:b/>
          <w:bCs/>
          <w:color w:val="C7D2FE"/>
          <w:sz w:val="72"/>
          <w:szCs w:val="72"/>
        </w:rPr>
        <w:t xml:space="preserve">08</w:t>
      </w:r>
    </w:p>
    <w:p>
      <w:pPr>
        <w:pStyle w:val="Heading1"/>
      </w:pPr>
      <w:bookmarkStart w:name="_Toc8" w:id="8"/>
      <w:r>
        <w:t xml:space="preserve">Stack technique et architecture</w:t>
      </w:r>
      <w:bookmarkEnd w:id="8"/>
    </w:p>
    <w:p>
      <w:pPr>
        <w:pBdr>
          <w:bottom w:val="single" w:color="E0E7FF" w:sz="6" w:space="10"/>
        </w:pBdr>
        <w:spacing w:after="280"/>
      </w:pPr>
      <w:r>
        <w:rPr>
          <w:i/>
          <w:iCs/>
          <w:color w:val="6B7280"/>
          <w:sz w:val="24"/>
          <w:szCs w:val="24"/>
        </w:rPr>
        <w:t xml:space="preserve">Native, sans serveur à maintenir, sécurisée au niveau de la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4F46E5" w:sz="36"/>
              <w:bottom w:val="none" w:color="FFFFFF" w:sz="0"/>
              <w:right w:val="none" w:color="FFFFFF" w:sz="0"/>
            </w:tcBorders>
            <w:shd w:fill="EEF2FF" w:color="auto" w:val="clear"/>
            <w:tcMar>
              <w:top w:type="dxa" w:w="180"/>
              <w:left w:type="dxa" w:w="300"/>
              <w:bottom w:type="dxa" w:w="180"/>
              <w:right w:type="dxa" w:w="260"/>
            </w:tcMar>
          </w:tcPr>
          <w:p>
            <w:pPr>
              <w:spacing w:after="80"/>
            </w:pPr>
            <w:r>
              <w:rPr>
                <w:b/>
                <w:bCs/>
                <w:color w:val="4F46E5"/>
                <w:spacing w:val="30"/>
                <w:sz w:val="18"/>
                <w:szCs w:val="18"/>
              </w:rPr>
              <w:t xml:space="preserve">LA STACK RETENUE</w:t>
            </w:r>
          </w:p>
          <w:p>
            <w:pPr>
              <w:spacing w:after="60" w:line="300"/>
            </w:pPr>
            <w:r>
              <w:rPr>
                <w:b/>
                <w:bCs/>
              </w:rPr>
              <w:t xml:space="preserve">Expo (React Native) en TypeScript + Supabase (PostgreSQL, Auth, Row Level Security).</w:t>
            </w:r>
          </w:p>
          <w:p>
            <w:pPr>
              <w:spacing w:after="60" w:line="300"/>
            </w:pPr>
            <w:r>
              <w:t xml:space="preserve">Une vraie application native sur iOS et Android, un back-end hébergé sans serveur à coder, et un anonymat garanti par la base de données elle-même.</w:t>
            </w:r>
          </w:p>
        </w:tc>
      </w:tr>
    </w:tbl>
    <w:p>
      <w:pPr>
        <w:spacing w:after="200"/>
      </w:pPr>
    </w:p>
    <w:p>
      <w:pPr>
        <w:pStyle w:val="Heading2"/>
        <w:keepNext/>
      </w:pPr>
      <w:r>
        <w:t xml:space="preserve">Architecture</w:t>
      </w:r>
    </w:p>
    <w:p>
      <w:pPr>
        <w:spacing w:after="120" w:before="120"/>
        <w:jc w:val="center"/>
      </w:pPr>
      <w:r>
        <w:drawing>
          <wp:inline distT="0" distB="0" distL="0" distR="0">
            <wp:extent cx="5734050" cy="30099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3009900"/>
                    </a:xfrm>
                    <a:prstGeom prst="rect">
                      <a:avLst/>
                    </a:prstGeom>
                  </pic:spPr>
                </pic:pic>
              </a:graphicData>
            </a:graphic>
          </wp:inline>
        </w:drawing>
      </w:r>
    </w:p>
    <w:p>
      <w:pPr>
        <w:spacing w:after="140" w:line="300"/>
      </w:pPr>
      <w:r>
        <w:t xml:space="preserve">L’application communique directement avec Supabase en HTTPS grâce au SDK supabase-js. À la connexion, Supabase Auth délivre un jeton JWT qui accompagne chaque requête. PostgreSQL lit l’identité de l’utilisateur dans ce jeton et applique les règles RLS. Il n’y a pas de serveur intermédiaire à développer ni à héberger.</w:t>
      </w:r>
    </w:p>
    <w:p>
      <w:pPr>
        <w:pStyle w:val="Heading2"/>
        <w:keepNext/>
      </w:pPr>
      <w:r>
        <w:t xml:space="preserve">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126"/>
      </w:tblGrid>
      <w:tr>
        <w:trPr>
          <w:cantSplit/>
          <w:tblHeader/>
        </w:trPr>
        <w:tc>
          <w:tcPr>
            <w:tcW w:type="dxa" w:w="20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Couche</w:t>
            </w:r>
          </w:p>
        </w:tc>
        <w:tc>
          <w:tcPr>
            <w:tcW w:type="dxa" w:w="29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Technologie</w:t>
            </w:r>
          </w:p>
        </w:tc>
        <w:tc>
          <w:tcPr>
            <w:tcW w:type="dxa" w:w="4126"/>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Rôle</w:t>
            </w:r>
          </w:p>
        </w:tc>
      </w:tr>
      <w:tr>
        <w:trPr>
          <w:cantSplit/>
          <w:tblHeader w:val="off"/>
        </w:trPr>
        <w:tc>
          <w:tcPr>
            <w:tcW w:type="dxa" w:w="2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Mobile</w:t>
            </w:r>
          </w:p>
        </w:tc>
        <w:tc>
          <w:tcPr>
            <w:tcW w:type="dxa" w:w="29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b/>
                <w:bCs/>
                <w:sz w:val="20"/>
                <w:szCs w:val="20"/>
              </w:rPr>
              <w:t xml:space="preserve">Expo</w:t>
            </w:r>
            <w:r>
              <w:rPr>
                <w:sz w:val="20"/>
                <w:szCs w:val="20"/>
              </w:rPr>
              <w:t xml:space="preserve"> (React Native) + </w:t>
            </w:r>
            <w:r>
              <w:rPr>
                <w:b/>
                <w:bCs/>
                <w:sz w:val="20"/>
                <w:szCs w:val="20"/>
              </w:rPr>
              <w:t xml:space="preserve">TypeScript</w:t>
            </w:r>
          </w:p>
        </w:tc>
        <w:tc>
          <w:tcPr>
            <w:tcW w:type="dxa" w:w="41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Application native iOS et Android à partir d’un seul code. Le typage limite les bugs.</w:t>
            </w:r>
          </w:p>
        </w:tc>
      </w:tr>
      <w:tr>
        <w:trPr>
          <w:cantSplit/>
          <w:tblHeader w:val="off"/>
        </w:trPr>
        <w:tc>
          <w:tcPr>
            <w:tcW w:type="dxa" w:w="2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Navigation</w:t>
            </w:r>
          </w:p>
        </w:tc>
        <w:tc>
          <w:tcPr>
            <w:tcW w:type="dxa" w:w="29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Expo Router</w:t>
            </w:r>
          </w:p>
        </w:tc>
        <w:tc>
          <w:tcPr>
            <w:tcW w:type="dxa" w:w="41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Navigation par fichiers, espaces collaborateur et manager séparés selon le rôle.</w:t>
            </w:r>
          </w:p>
        </w:tc>
      </w:tr>
      <w:tr>
        <w:trPr>
          <w:cantSplit/>
          <w:tblHeader w:val="off"/>
        </w:trPr>
        <w:tc>
          <w:tcPr>
            <w:tcW w:type="dxa" w:w="2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Interface</w:t>
            </w:r>
          </w:p>
        </w:tc>
        <w:tc>
          <w:tcPr>
            <w:tcW w:type="dxa" w:w="29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NativeWind (Tailwind)</w:t>
            </w:r>
          </w:p>
        </w:tc>
        <w:tc>
          <w:tcPr>
            <w:tcW w:type="dxa" w:w="41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Mise en forme rapide et cohérente.</w:t>
            </w:r>
          </w:p>
        </w:tc>
      </w:tr>
      <w:tr>
        <w:trPr>
          <w:cantSplit/>
          <w:tblHeader w:val="off"/>
        </w:trPr>
        <w:tc>
          <w:tcPr>
            <w:tcW w:type="dxa" w:w="2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Données</w:t>
            </w:r>
          </w:p>
        </w:tc>
        <w:tc>
          <w:tcPr>
            <w:tcW w:type="dxa" w:w="29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TanStack Query + Zod</w:t>
            </w:r>
          </w:p>
        </w:tc>
        <w:tc>
          <w:tcPr>
            <w:tcW w:type="dxa" w:w="41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Cache et rechargement des données, validation des saisies.</w:t>
            </w:r>
          </w:p>
        </w:tc>
      </w:tr>
      <w:tr>
        <w:trPr>
          <w:cantSplit/>
          <w:tblHeader w:val="off"/>
        </w:trPr>
        <w:tc>
          <w:tcPr>
            <w:tcW w:type="dxa" w:w="2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Graphique</w:t>
            </w:r>
          </w:p>
        </w:tc>
        <w:tc>
          <w:tcPr>
            <w:tcW w:type="dxa" w:w="29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react-native-gifted-charts</w:t>
            </w:r>
          </w:p>
        </w:tc>
        <w:tc>
          <w:tcPr>
            <w:tcW w:type="dxa" w:w="41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Le graphe du Miroir : deux courbes, zone d’écart, annotation.</w:t>
            </w:r>
          </w:p>
        </w:tc>
      </w:tr>
      <w:tr>
        <w:trPr>
          <w:cantSplit/>
          <w:tblHeader w:val="off"/>
        </w:trPr>
        <w:tc>
          <w:tcPr>
            <w:tcW w:type="dxa" w:w="2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Notifications</w:t>
            </w:r>
          </w:p>
        </w:tc>
        <w:tc>
          <w:tcPr>
            <w:tcW w:type="dxa" w:w="29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expo-notifications</w:t>
            </w:r>
          </w:p>
        </w:tc>
        <w:tc>
          <w:tcPr>
            <w:tcW w:type="dxa" w:w="41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Rappel quotidien de saisie (notification locale).</w:t>
            </w:r>
          </w:p>
        </w:tc>
      </w:tr>
      <w:tr>
        <w:trPr>
          <w:cantSplit/>
          <w:tblHeader w:val="off"/>
        </w:trPr>
        <w:tc>
          <w:tcPr>
            <w:tcW w:type="dxa" w:w="2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Back-end</w:t>
            </w:r>
          </w:p>
        </w:tc>
        <w:tc>
          <w:tcPr>
            <w:tcW w:type="dxa" w:w="29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b/>
                <w:bCs/>
                <w:sz w:val="20"/>
                <w:szCs w:val="20"/>
              </w:rPr>
              <w:t xml:space="preserve">Supabase</w:t>
            </w:r>
          </w:p>
        </w:tc>
        <w:tc>
          <w:tcPr>
            <w:tcW w:type="dxa" w:w="41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PostgreSQL hébergé, authentification, API générée automatiquement, fonctions SQL.</w:t>
            </w:r>
          </w:p>
        </w:tc>
      </w:tr>
      <w:tr>
        <w:trPr>
          <w:cantSplit/>
          <w:tblHeader w:val="off"/>
        </w:trPr>
        <w:tc>
          <w:tcPr>
            <w:tcW w:type="dxa" w:w="2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Sécurité</w:t>
            </w:r>
          </w:p>
        </w:tc>
        <w:tc>
          <w:tcPr>
            <w:tcW w:type="dxa" w:w="29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Row Level Security</w:t>
            </w:r>
          </w:p>
        </w:tc>
        <w:tc>
          <w:tcPr>
            <w:tcW w:type="dxa" w:w="41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Règles d’accès appliquées par la base, ligne par ligne.</w:t>
            </w:r>
          </w:p>
        </w:tc>
      </w:tr>
      <w:tr>
        <w:trPr>
          <w:cantSplit/>
          <w:tblHeader w:val="off"/>
        </w:trPr>
        <w:tc>
          <w:tcPr>
            <w:tcW w:type="dxa" w:w="2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Outillage</w:t>
            </w:r>
          </w:p>
        </w:tc>
        <w:tc>
          <w:tcPr>
            <w:tcW w:type="dxa" w:w="29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GitHub, EAS Build, ESLint + Prettier</w:t>
            </w:r>
          </w:p>
        </w:tc>
        <w:tc>
          <w:tcPr>
            <w:tcW w:type="dxa" w:w="41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Versionnage, revue de code, suivi des tâches, build de l’APK.</w:t>
            </w:r>
          </w:p>
        </w:tc>
      </w:tr>
    </w:tbl>
    <w:p>
      <w:pPr>
        <w:spacing w:after="120"/>
      </w:pPr>
    </w:p>
    <w:p>
      <w:pPr>
        <w:pStyle w:val="Heading2"/>
        <w:keepNext/>
      </w:pPr>
      <w:r>
        <w:t xml:space="preserve">Pourquoi cette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50"/>
        <w:gridCol w:w="2250"/>
        <w:gridCol w:w="2226"/>
      </w:tblGrid>
      <w:tr>
        <w:trPr>
          <w:cantSplit/>
          <w:tblHeader/>
        </w:trPr>
        <w:tc>
          <w:tcPr>
            <w:tcW w:type="dxa" w:w="23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Critère</w:t>
            </w:r>
          </w:p>
        </w:tc>
        <w:tc>
          <w:tcPr>
            <w:tcW w:type="dxa" w:w="225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Expo + Supabase</w:t>
            </w:r>
          </w:p>
        </w:tc>
        <w:tc>
          <w:tcPr>
            <w:tcW w:type="dxa" w:w="225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Vue + Capacitor + Strapi</w:t>
            </w:r>
          </w:p>
        </w:tc>
        <w:tc>
          <w:tcPr>
            <w:tcW w:type="dxa" w:w="2226"/>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Firebase</w:t>
            </w:r>
          </w:p>
        </w:tc>
      </w:tr>
      <w:tr>
        <w:trPr>
          <w:cantSplit/>
          <w:tblHeader w:val="off"/>
        </w:trPr>
        <w:tc>
          <w:tcPr>
            <w:tcW w:type="dxa" w:w="23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Application mobile</w:t>
            </w:r>
          </w:p>
        </w:tc>
        <w:tc>
          <w:tcPr>
            <w:tcW w:type="dxa" w:w="2250"/>
            <w:tcBorders>
              <w:top w:val="single" w:color="E0E7FF" w:sz="4"/>
              <w:left w:val="single" w:color="E0E7FF" w:sz="4"/>
              <w:bottom w:val="single" w:color="E0E7FF" w:sz="4"/>
              <w:right w:val="single" w:color="E0E7FF" w:sz="4"/>
            </w:tcBorders>
            <w:shd w:fill="D1FAE5" w:color="auto" w:val="clear"/>
            <w:tcMar>
              <w:top w:type="dxa" w:w="90"/>
              <w:left w:type="dxa" w:w="130"/>
              <w:bottom w:type="dxa" w:w="90"/>
              <w:right w:type="dxa" w:w="130"/>
            </w:tcMar>
            <w:vAlign w:val="top"/>
          </w:tcPr>
          <w:p>
            <w:pPr>
              <w:spacing w:after="40" w:line="264"/>
            </w:pPr>
            <w:r>
              <w:rPr>
                <w:sz w:val="20"/>
                <w:szCs w:val="20"/>
              </w:rPr>
              <w:t xml:space="preserve">Native (vrais composants)</w:t>
            </w:r>
          </w:p>
        </w:tc>
        <w:tc>
          <w:tcPr>
            <w:tcW w:type="dxa" w:w="2250"/>
            <w:tcBorders>
              <w:top w:val="single" w:color="E0E7FF" w:sz="4"/>
              <w:left w:val="single" w:color="E0E7FF" w:sz="4"/>
              <w:bottom w:val="single" w:color="E0E7FF" w:sz="4"/>
              <w:right w:val="single" w:color="E0E7FF" w:sz="4"/>
            </w:tcBorders>
            <w:shd w:fill="FEF3C7" w:color="auto" w:val="clear"/>
            <w:tcMar>
              <w:top w:type="dxa" w:w="90"/>
              <w:left w:type="dxa" w:w="130"/>
              <w:bottom w:type="dxa" w:w="90"/>
              <w:right w:type="dxa" w:w="130"/>
            </w:tcMar>
            <w:vAlign w:val="top"/>
          </w:tcPr>
          <w:p>
            <w:pPr>
              <w:spacing w:after="40" w:line="264"/>
            </w:pPr>
            <w:r>
              <w:rPr>
                <w:sz w:val="20"/>
                <w:szCs w:val="20"/>
              </w:rPr>
              <w:t xml:space="preserve">Web app dans un conteneur</w:t>
            </w:r>
          </w:p>
        </w:tc>
        <w:tc>
          <w:tcPr>
            <w:tcW w:type="dxa" w:w="2226"/>
            <w:tcBorders>
              <w:top w:val="single" w:color="E0E7FF" w:sz="4"/>
              <w:left w:val="single" w:color="E0E7FF" w:sz="4"/>
              <w:bottom w:val="single" w:color="E0E7FF" w:sz="4"/>
              <w:right w:val="single" w:color="E0E7FF" w:sz="4"/>
            </w:tcBorders>
            <w:shd w:fill="F1F5F9" w:color="auto" w:val="clear"/>
            <w:tcMar>
              <w:top w:type="dxa" w:w="90"/>
              <w:left w:type="dxa" w:w="130"/>
              <w:bottom w:type="dxa" w:w="90"/>
              <w:right w:type="dxa" w:w="130"/>
            </w:tcMar>
            <w:vAlign w:val="top"/>
          </w:tcPr>
          <w:p>
            <w:pPr>
              <w:spacing w:after="40" w:line="264"/>
            </w:pPr>
            <w:r>
              <w:rPr>
                <w:sz w:val="20"/>
                <w:szCs w:val="20"/>
              </w:rPr>
              <w:t xml:space="preserve">Back-end seulement</w:t>
            </w:r>
          </w:p>
        </w:tc>
      </w:tr>
      <w:tr>
        <w:trPr>
          <w:cantSplit/>
          <w:tblHeader w:val="off"/>
        </w:trPr>
        <w:tc>
          <w:tcPr>
            <w:tcW w:type="dxa" w:w="23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Calcul du Miroir</w:t>
            </w:r>
          </w:p>
        </w:tc>
        <w:tc>
          <w:tcPr>
            <w:tcW w:type="dxa" w:w="2250"/>
            <w:tcBorders>
              <w:top w:val="single" w:color="E0E7FF" w:sz="4"/>
              <w:left w:val="single" w:color="E0E7FF" w:sz="4"/>
              <w:bottom w:val="single" w:color="E0E7FF" w:sz="4"/>
              <w:right w:val="single" w:color="E0E7FF" w:sz="4"/>
            </w:tcBorders>
            <w:shd w:fill="D1FAE5" w:color="auto" w:val="clear"/>
            <w:tcMar>
              <w:top w:type="dxa" w:w="90"/>
              <w:left w:type="dxa" w:w="130"/>
              <w:bottom w:type="dxa" w:w="90"/>
              <w:right w:type="dxa" w:w="130"/>
            </w:tcMar>
            <w:vAlign w:val="top"/>
          </w:tcPr>
          <w:p>
            <w:pPr>
              <w:spacing w:after="40" w:line="264"/>
            </w:pPr>
            <w:r>
              <w:rPr>
                <w:sz w:val="20"/>
                <w:szCs w:val="20"/>
              </w:rPr>
              <w:t xml:space="preserve">Une fonction SQL</w:t>
            </w:r>
          </w:p>
        </w:tc>
        <w:tc>
          <w:tcPr>
            <w:tcW w:type="dxa" w:w="2250"/>
            <w:tcBorders>
              <w:top w:val="single" w:color="E0E7FF" w:sz="4"/>
              <w:left w:val="single" w:color="E0E7FF" w:sz="4"/>
              <w:bottom w:val="single" w:color="E0E7FF" w:sz="4"/>
              <w:right w:val="single" w:color="E0E7FF" w:sz="4"/>
            </w:tcBorders>
            <w:shd w:fill="FEF3C7" w:color="auto" w:val="clear"/>
            <w:tcMar>
              <w:top w:type="dxa" w:w="90"/>
              <w:left w:type="dxa" w:w="130"/>
              <w:bottom w:type="dxa" w:w="90"/>
              <w:right w:type="dxa" w:w="130"/>
            </w:tcMar>
            <w:vAlign w:val="top"/>
          </w:tcPr>
          <w:p>
            <w:pPr>
              <w:spacing w:after="40" w:line="264"/>
            </w:pPr>
            <w:r>
              <w:rPr>
                <w:sz w:val="20"/>
                <w:szCs w:val="20"/>
              </w:rPr>
              <w:t xml:space="preserve">À coder dans un contrôleur</w:t>
            </w:r>
          </w:p>
        </w:tc>
        <w:tc>
          <w:tcPr>
            <w:tcW w:type="dxa" w:w="2226"/>
            <w:tcBorders>
              <w:top w:val="single" w:color="E0E7FF" w:sz="4"/>
              <w:left w:val="single" w:color="E0E7FF" w:sz="4"/>
              <w:bottom w:val="single" w:color="E0E7FF" w:sz="4"/>
              <w:right w:val="single" w:color="E0E7FF" w:sz="4"/>
            </w:tcBorders>
            <w:shd w:fill="FFE4E6" w:color="auto" w:val="clear"/>
            <w:tcMar>
              <w:top w:type="dxa" w:w="90"/>
              <w:left w:type="dxa" w:w="130"/>
              <w:bottom w:type="dxa" w:w="90"/>
              <w:right w:type="dxa" w:w="130"/>
            </w:tcMar>
            <w:vAlign w:val="top"/>
          </w:tcPr>
          <w:p>
            <w:pPr>
              <w:spacing w:after="40" w:line="264"/>
            </w:pPr>
            <w:r>
              <w:rPr>
                <w:sz w:val="20"/>
                <w:szCs w:val="20"/>
              </w:rPr>
              <w:t xml:space="preserve">NoSQL : agrégations pénibles</w:t>
            </w:r>
          </w:p>
        </w:tc>
      </w:tr>
      <w:tr>
        <w:trPr>
          <w:cantSplit/>
          <w:tblHeader w:val="off"/>
        </w:trPr>
        <w:tc>
          <w:tcPr>
            <w:tcW w:type="dxa" w:w="23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Anonymat</w:t>
            </w:r>
          </w:p>
        </w:tc>
        <w:tc>
          <w:tcPr>
            <w:tcW w:type="dxa" w:w="2250"/>
            <w:tcBorders>
              <w:top w:val="single" w:color="E0E7FF" w:sz="4"/>
              <w:left w:val="single" w:color="E0E7FF" w:sz="4"/>
              <w:bottom w:val="single" w:color="E0E7FF" w:sz="4"/>
              <w:right w:val="single" w:color="E0E7FF" w:sz="4"/>
            </w:tcBorders>
            <w:shd w:fill="D1FAE5" w:color="auto" w:val="clear"/>
            <w:tcMar>
              <w:top w:type="dxa" w:w="90"/>
              <w:left w:type="dxa" w:w="130"/>
              <w:bottom w:type="dxa" w:w="90"/>
              <w:right w:type="dxa" w:w="130"/>
            </w:tcMar>
            <w:vAlign w:val="top"/>
          </w:tcPr>
          <w:p>
            <w:pPr>
              <w:spacing w:after="40" w:line="264"/>
            </w:pPr>
            <w:r>
              <w:rPr>
                <w:sz w:val="20"/>
                <w:szCs w:val="20"/>
              </w:rPr>
              <w:t xml:space="preserve">Garanti par la base (RLS)</w:t>
            </w:r>
          </w:p>
        </w:tc>
        <w:tc>
          <w:tcPr>
            <w:tcW w:type="dxa" w:w="2250"/>
            <w:tcBorders>
              <w:top w:val="single" w:color="E0E7FF" w:sz="4"/>
              <w:left w:val="single" w:color="E0E7FF" w:sz="4"/>
              <w:bottom w:val="single" w:color="E0E7FF" w:sz="4"/>
              <w:right w:val="single" w:color="E0E7FF" w:sz="4"/>
            </w:tcBorders>
            <w:shd w:fill="FEF3C7" w:color="auto" w:val="clear"/>
            <w:tcMar>
              <w:top w:type="dxa" w:w="90"/>
              <w:left w:type="dxa" w:w="130"/>
              <w:bottom w:type="dxa" w:w="90"/>
              <w:right w:type="dxa" w:w="130"/>
            </w:tcMar>
            <w:vAlign w:val="top"/>
          </w:tcPr>
          <w:p>
            <w:pPr>
              <w:spacing w:after="40" w:line="264"/>
            </w:pPr>
            <w:r>
              <w:rPr>
                <w:sz w:val="20"/>
                <w:szCs w:val="20"/>
              </w:rPr>
              <w:t xml:space="preserve">Dépend de la config de l’API</w:t>
            </w:r>
          </w:p>
        </w:tc>
        <w:tc>
          <w:tcPr>
            <w:tcW w:type="dxa" w:w="2226"/>
            <w:tcBorders>
              <w:top w:val="single" w:color="E0E7FF" w:sz="4"/>
              <w:left w:val="single" w:color="E0E7FF" w:sz="4"/>
              <w:bottom w:val="single" w:color="E0E7FF" w:sz="4"/>
              <w:right w:val="single" w:color="E0E7FF" w:sz="4"/>
            </w:tcBorders>
            <w:shd w:fill="FEF3C7" w:color="auto" w:val="clear"/>
            <w:tcMar>
              <w:top w:type="dxa" w:w="90"/>
              <w:left w:type="dxa" w:w="130"/>
              <w:bottom w:type="dxa" w:w="90"/>
              <w:right w:type="dxa" w:w="130"/>
            </w:tcMar>
            <w:vAlign w:val="top"/>
          </w:tcPr>
          <w:p>
            <w:pPr>
              <w:spacing w:after="40" w:line="264"/>
            </w:pPr>
            <w:r>
              <w:rPr>
                <w:sz w:val="20"/>
                <w:szCs w:val="20"/>
              </w:rPr>
              <w:t xml:space="preserve">Règles peu adaptées aux agrégats</w:t>
            </w:r>
          </w:p>
        </w:tc>
      </w:tr>
      <w:tr>
        <w:trPr>
          <w:cantSplit/>
          <w:tblHeader w:val="off"/>
        </w:trPr>
        <w:tc>
          <w:tcPr>
            <w:tcW w:type="dxa" w:w="23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Hébergement</w:t>
            </w:r>
          </w:p>
        </w:tc>
        <w:tc>
          <w:tcPr>
            <w:tcW w:type="dxa" w:w="2250"/>
            <w:tcBorders>
              <w:top w:val="single" w:color="E0E7FF" w:sz="4"/>
              <w:left w:val="single" w:color="E0E7FF" w:sz="4"/>
              <w:bottom w:val="single" w:color="E0E7FF" w:sz="4"/>
              <w:right w:val="single" w:color="E0E7FF" w:sz="4"/>
            </w:tcBorders>
            <w:shd w:fill="D1FAE5" w:color="auto" w:val="clear"/>
            <w:tcMar>
              <w:top w:type="dxa" w:w="90"/>
              <w:left w:type="dxa" w:w="130"/>
              <w:bottom w:type="dxa" w:w="90"/>
              <w:right w:type="dxa" w:w="130"/>
            </w:tcMar>
            <w:vAlign w:val="top"/>
          </w:tcPr>
          <w:p>
            <w:pPr>
              <w:spacing w:after="40" w:line="264"/>
            </w:pPr>
            <w:r>
              <w:rPr>
                <w:sz w:val="20"/>
                <w:szCs w:val="20"/>
              </w:rPr>
              <w:t xml:space="preserve">Hébergé et gratuit</w:t>
            </w:r>
          </w:p>
        </w:tc>
        <w:tc>
          <w:tcPr>
            <w:tcW w:type="dxa" w:w="2250"/>
            <w:tcBorders>
              <w:top w:val="single" w:color="E0E7FF" w:sz="4"/>
              <w:left w:val="single" w:color="E0E7FF" w:sz="4"/>
              <w:bottom w:val="single" w:color="E0E7FF" w:sz="4"/>
              <w:right w:val="single" w:color="E0E7FF" w:sz="4"/>
            </w:tcBorders>
            <w:shd w:fill="FEF3C7" w:color="auto" w:val="clear"/>
            <w:tcMar>
              <w:top w:type="dxa" w:w="90"/>
              <w:left w:type="dxa" w:w="130"/>
              <w:bottom w:type="dxa" w:w="90"/>
              <w:right w:type="dxa" w:w="130"/>
            </w:tcMar>
            <w:vAlign w:val="top"/>
          </w:tcPr>
          <w:p>
            <w:pPr>
              <w:spacing w:after="40" w:line="264"/>
            </w:pPr>
            <w:r>
              <w:rPr>
                <w:sz w:val="20"/>
                <w:szCs w:val="20"/>
              </w:rPr>
              <w:t xml:space="preserve">VPS à configurer</w:t>
            </w:r>
          </w:p>
        </w:tc>
        <w:tc>
          <w:tcPr>
            <w:tcW w:type="dxa" w:w="2226"/>
            <w:tcBorders>
              <w:top w:val="single" w:color="E0E7FF" w:sz="4"/>
              <w:left w:val="single" w:color="E0E7FF" w:sz="4"/>
              <w:bottom w:val="single" w:color="E0E7FF" w:sz="4"/>
              <w:right w:val="single" w:color="E0E7FF" w:sz="4"/>
            </w:tcBorders>
            <w:shd w:fill="D1FAE5" w:color="auto" w:val="clear"/>
            <w:tcMar>
              <w:top w:type="dxa" w:w="90"/>
              <w:left w:type="dxa" w:w="130"/>
              <w:bottom w:type="dxa" w:w="90"/>
              <w:right w:type="dxa" w:w="130"/>
            </w:tcMar>
            <w:vAlign w:val="top"/>
          </w:tcPr>
          <w:p>
            <w:pPr>
              <w:spacing w:after="40" w:line="264"/>
            </w:pPr>
            <w:r>
              <w:rPr>
                <w:sz w:val="20"/>
                <w:szCs w:val="20"/>
              </w:rPr>
              <w:t xml:space="preserve">Hébergé</w:t>
            </w:r>
          </w:p>
        </w:tc>
      </w:tr>
      <w:tr>
        <w:trPr>
          <w:cantSplit/>
          <w:tblHeader w:val="off"/>
        </w:trPr>
        <w:tc>
          <w:tcPr>
            <w:tcW w:type="dxa" w:w="23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Démo</w:t>
            </w:r>
          </w:p>
        </w:tc>
        <w:tc>
          <w:tcPr>
            <w:tcW w:type="dxa" w:w="2250"/>
            <w:tcBorders>
              <w:top w:val="single" w:color="E0E7FF" w:sz="4"/>
              <w:left w:val="single" w:color="E0E7FF" w:sz="4"/>
              <w:bottom w:val="single" w:color="E0E7FF" w:sz="4"/>
              <w:right w:val="single" w:color="E0E7FF" w:sz="4"/>
            </w:tcBorders>
            <w:shd w:fill="D1FAE5" w:color="auto" w:val="clear"/>
            <w:tcMar>
              <w:top w:type="dxa" w:w="90"/>
              <w:left w:type="dxa" w:w="130"/>
              <w:bottom w:type="dxa" w:w="90"/>
              <w:right w:type="dxa" w:w="130"/>
            </w:tcMar>
            <w:vAlign w:val="top"/>
          </w:tcPr>
          <w:p>
            <w:pPr>
              <w:spacing w:after="40" w:line="264"/>
            </w:pPr>
            <w:r>
              <w:rPr>
                <w:sz w:val="20"/>
                <w:szCs w:val="20"/>
              </w:rPr>
              <w:t xml:space="preserve">Expo Go : QR code, iPhone et Android, sans Mac</w:t>
            </w:r>
          </w:p>
        </w:tc>
        <w:tc>
          <w:tcPr>
            <w:tcW w:type="dxa" w:w="2250"/>
            <w:tcBorders>
              <w:top w:val="single" w:color="E0E7FF" w:sz="4"/>
              <w:left w:val="single" w:color="E0E7FF" w:sz="4"/>
              <w:bottom w:val="single" w:color="E0E7FF" w:sz="4"/>
              <w:right w:val="single" w:color="E0E7FF" w:sz="4"/>
            </w:tcBorders>
            <w:shd w:fill="FEF3C7" w:color="auto" w:val="clear"/>
            <w:tcMar>
              <w:top w:type="dxa" w:w="90"/>
              <w:left w:type="dxa" w:w="130"/>
              <w:bottom w:type="dxa" w:w="90"/>
              <w:right w:type="dxa" w:w="130"/>
            </w:tcMar>
            <w:vAlign w:val="top"/>
          </w:tcPr>
          <w:p>
            <w:pPr>
              <w:spacing w:after="40" w:line="264"/>
            </w:pPr>
            <w:r>
              <w:rPr>
                <w:sz w:val="20"/>
                <w:szCs w:val="20"/>
              </w:rPr>
              <w:t xml:space="preserve">iOS nécessite un Mac et Xcode</w:t>
            </w:r>
          </w:p>
        </w:tc>
        <w:tc>
          <w:tcPr>
            <w:tcW w:type="dxa" w:w="2226"/>
            <w:tcBorders>
              <w:top w:val="single" w:color="E0E7FF" w:sz="4"/>
              <w:left w:val="single" w:color="E0E7FF" w:sz="4"/>
              <w:bottom w:val="single" w:color="E0E7FF" w:sz="4"/>
              <w:right w:val="single" w:color="E0E7FF" w:sz="4"/>
            </w:tcBorders>
            <w:shd w:fill="F1F5F9" w:color="auto" w:val="clear"/>
            <w:tcMar>
              <w:top w:type="dxa" w:w="90"/>
              <w:left w:type="dxa" w:w="130"/>
              <w:bottom w:type="dxa" w:w="90"/>
              <w:right w:type="dxa" w:w="130"/>
            </w:tcMar>
            <w:vAlign w:val="top"/>
          </w:tcPr>
          <w:p>
            <w:pPr>
              <w:spacing w:after="40" w:line="264"/>
            </w:pPr>
            <w:r>
              <w:rPr>
                <w:sz w:val="20"/>
                <w:szCs w:val="20"/>
              </w:rPr>
              <w:t xml:space="preserve">Non concerné</w:t>
            </w:r>
          </w:p>
        </w:tc>
      </w:tr>
    </w:tbl>
    <w:p>
      <w:pPr>
        <w:spacing w:after="120"/>
      </w:pPr>
    </w:p>
    <w:p>
      <w:pPr>
        <w:pStyle w:val="ListParagraph"/>
        <w:numPr>
          <w:ilvl w:val="0"/>
          <w:numId w:val="2"/>
        </w:numPr>
        <w:spacing w:after="80" w:line="288"/>
      </w:pPr>
      <w:r>
        <w:rPr>
          <w:b/>
          <w:bCs/>
        </w:rPr>
        <w:t xml:space="preserve">L’anonymat devient prouvable</w:t>
      </w:r>
      <w:r>
        <w:t xml:space="preserve"> : la seule porte d’entrée vers les réponses est une fonction qui renvoie des moyennes, au-delà du seuil. Même en piratant l’app, impossible de lire une réponse individuelle.</w:t>
      </w:r>
    </w:p>
    <w:p>
      <w:pPr>
        <w:pStyle w:val="ListParagraph"/>
        <w:numPr>
          <w:ilvl w:val="0"/>
          <w:numId w:val="2"/>
        </w:numPr>
        <w:spacing w:after="80" w:line="288"/>
      </w:pPr>
      <w:r>
        <w:rPr>
          <w:b/>
          <w:bCs/>
        </w:rPr>
        <w:t xml:space="preserve">Le Miroir est un calcul SQL</w:t>
      </w:r>
      <w:r>
        <w:t xml:space="preserve"> : moyennes, seuil, écart et tag dominant tiennent dans une fonction PostgreSQL.</w:t>
      </w:r>
    </w:p>
    <w:p>
      <w:pPr>
        <w:pStyle w:val="ListParagraph"/>
        <w:numPr>
          <w:ilvl w:val="0"/>
          <w:numId w:val="2"/>
        </w:numPr>
        <w:spacing w:after="80" w:line="288"/>
      </w:pPr>
      <w:r>
        <w:rPr>
          <w:b/>
          <w:bCs/>
        </w:rPr>
        <w:t xml:space="preserve">La démo marche partout</w:t>
      </w:r>
      <w:r>
        <w:t xml:space="preserve"> : Supabase est hébergé, et Expo Go lance l’app sur n’importe quel téléphone en scannant un QR code.</w:t>
      </w:r>
    </w:p>
    <w:p>
      <w:pPr>
        <w:pStyle w:val="Heading2"/>
        <w:keepNext/>
      </w:pPr>
      <w:r>
        <w:t xml:space="preserve">Modèle de données</w:t>
      </w:r>
    </w:p>
    <w:p>
      <w:pPr>
        <w:spacing w:after="120" w:before="120"/>
        <w:jc w:val="center"/>
      </w:pPr>
      <w:r>
        <w:drawing>
          <wp:inline distT="0" distB="0" distL="0" distR="0">
            <wp:extent cx="5734050" cy="29432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294322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Table</w:t>
            </w:r>
          </w:p>
        </w:tc>
        <w:tc>
          <w:tcPr>
            <w:tcW w:type="dxa" w:w="7126"/>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Règles d’accès (RLS)</w:t>
            </w:r>
          </w:p>
        </w:tc>
      </w:tr>
      <w:tr>
        <w:trPr>
          <w:cantSplit/>
          <w:tblHeader w:val="off"/>
        </w:trPr>
        <w:tc>
          <w:tcPr>
            <w:tcW w:type="dxa" w:w="19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profiles</w:t>
            </w:r>
          </w:p>
        </w:tc>
        <w:tc>
          <w:tcPr>
            <w:tcW w:type="dxa" w:w="71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Chacun ne lit que son propre profil.</w:t>
            </w:r>
          </w:p>
        </w:tc>
      </w:tr>
      <w:tr>
        <w:trPr>
          <w:cantSplit/>
          <w:tblHeader w:val="off"/>
        </w:trPr>
        <w:tc>
          <w:tcPr>
            <w:tcW w:type="dxa" w:w="19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teams</w:t>
            </w:r>
          </w:p>
        </w:tc>
        <w:tc>
          <w:tcPr>
            <w:tcW w:type="dxa" w:w="71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Lecture par les membres de l’équipe.</w:t>
            </w:r>
          </w:p>
        </w:tc>
      </w:tr>
      <w:tr>
        <w:trPr>
          <w:cantSplit/>
          <w:tblHeader w:val="off"/>
        </w:trPr>
        <w:tc>
          <w:tcPr>
            <w:tcW w:type="dxa" w:w="19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tags</w:t>
            </w:r>
          </w:p>
        </w:tc>
        <w:tc>
          <w:tcPr>
            <w:tcW w:type="dxa" w:w="71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Lecture pour tous les utilisateurs connectés.</w:t>
            </w:r>
          </w:p>
        </w:tc>
      </w:tr>
      <w:tr>
        <w:trPr>
          <w:cantSplit/>
          <w:tblHeader w:val="off"/>
        </w:trPr>
        <w:tc>
          <w:tcPr>
            <w:tcW w:type="dxa" w:w="19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predictions</w:t>
            </w:r>
          </w:p>
        </w:tc>
        <w:tc>
          <w:tcPr>
            <w:tcW w:type="dxa" w:w="71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Le manager lit et écrit uniquement ses propres pronostics.</w:t>
            </w:r>
          </w:p>
        </w:tc>
      </w:tr>
      <w:tr>
        <w:trPr>
          <w:cantSplit/>
          <w:tblHeader w:val="off"/>
        </w:trPr>
        <w:tc>
          <w:tcPr>
            <w:tcW w:type="dxa" w:w="1900"/>
            <w:tcBorders>
              <w:top w:val="single" w:color="E0E7FF" w:sz="4"/>
              <w:left w:val="single" w:color="E0E7FF" w:sz="4"/>
              <w:bottom w:val="single" w:color="E0E7FF" w:sz="4"/>
              <w:right w:val="single" w:color="E0E7FF" w:sz="4"/>
            </w:tcBorders>
            <w:shd w:fill="FFE4E6" w:color="auto" w:val="clear"/>
            <w:tcMar>
              <w:top w:type="dxa" w:w="90"/>
              <w:left w:type="dxa" w:w="130"/>
              <w:bottom w:type="dxa" w:w="90"/>
              <w:right w:type="dxa" w:w="130"/>
            </w:tcMar>
            <w:vAlign w:val="top"/>
          </w:tcPr>
          <w:p>
            <w:pPr>
              <w:spacing w:after="40" w:line="264"/>
            </w:pPr>
            <w:r>
              <w:rPr>
                <w:b/>
                <w:bCs/>
                <w:sz w:val="20"/>
                <w:szCs w:val="20"/>
              </w:rPr>
              <w:t xml:space="preserve">moods</w:t>
            </w:r>
          </w:p>
        </w:tc>
        <w:tc>
          <w:tcPr>
            <w:tcW w:type="dxa" w:w="7126"/>
            <w:tcBorders>
              <w:top w:val="single" w:color="E0E7FF" w:sz="4"/>
              <w:left w:val="single" w:color="E0E7FF" w:sz="4"/>
              <w:bottom w:val="single" w:color="E0E7FF" w:sz="4"/>
              <w:right w:val="single" w:color="E0E7FF" w:sz="4"/>
            </w:tcBorders>
            <w:shd w:fill="FFE4E6" w:color="auto" w:val="clear"/>
            <w:tcMar>
              <w:top w:type="dxa" w:w="90"/>
              <w:left w:type="dxa" w:w="130"/>
              <w:bottom w:type="dxa" w:w="90"/>
              <w:right w:type="dxa" w:w="130"/>
            </w:tcMar>
            <w:vAlign w:val="top"/>
          </w:tcPr>
          <w:p>
            <w:pPr>
              <w:spacing w:after="40" w:line="264"/>
            </w:pPr>
            <w:r>
              <w:rPr>
                <w:b/>
                <w:bCs/>
                <w:sz w:val="20"/>
                <w:szCs w:val="20"/>
              </w:rPr>
              <w:t xml:space="preserve">Aucune lecture ni écriture directe.</w:t>
            </w:r>
            <w:r>
              <w:rPr>
                <w:sz w:val="20"/>
                <w:szCs w:val="20"/>
              </w:rPr>
              <w:t xml:space="preserve"> Accès uniquement via les fonctions ci-dessous.</w:t>
            </w:r>
          </w:p>
        </w:tc>
      </w:tr>
    </w:tbl>
    <w:p>
      <w:pPr>
        <w:spacing w:after="120"/>
      </w:pPr>
    </w:p>
    <w:p>
      <w:pPr>
        <w:pStyle w:val="Heading2"/>
        <w:keepNext/>
      </w:pPr>
      <w:r>
        <w:t xml:space="preserve">Fonctions SQL exposées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626"/>
      </w:tblGrid>
      <w:tr>
        <w:trPr>
          <w:cantSplit/>
          <w:tblHeader/>
        </w:trPr>
        <w:tc>
          <w:tcPr>
            <w:tcW w:type="dxa" w:w="29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Fonction</w:t>
            </w:r>
          </w:p>
        </w:tc>
        <w:tc>
          <w:tcPr>
            <w:tcW w:type="dxa" w:w="15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Rôle</w:t>
            </w:r>
          </w:p>
        </w:tc>
        <w:tc>
          <w:tcPr>
            <w:tcW w:type="dxa" w:w="4626"/>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Comportement</w:t>
            </w:r>
          </w:p>
        </w:tc>
      </w:tr>
      <w:tr>
        <w:trPr>
          <w:cantSplit/>
          <w:tblHeader w:val="off"/>
        </w:trPr>
        <w:tc>
          <w:tcPr>
            <w:tcW w:type="dxa" w:w="29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submit_mood(score, tag_ids)</w:t>
            </w:r>
          </w:p>
        </w:tc>
        <w:tc>
          <w:tcPr>
            <w:tcW w:type="dxa" w:w="15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Employee</w:t>
            </w:r>
          </w:p>
        </w:tc>
        <w:tc>
          <w:tcPr>
            <w:tcW w:type="dxa" w:w="46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Déduit l’équipe, calcule l’entry_key, refuse un doublon le même jour, n’enregistre jamais l’identifiant.</w:t>
            </w:r>
          </w:p>
        </w:tc>
      </w:tr>
      <w:tr>
        <w:trPr>
          <w:cantSplit/>
          <w:tblHeader w:val="off"/>
        </w:trPr>
        <w:tc>
          <w:tcPr>
            <w:tcW w:type="dxa" w:w="29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has_submitted_today()</w:t>
            </w:r>
          </w:p>
        </w:tc>
        <w:tc>
          <w:tcPr>
            <w:tcW w:type="dxa" w:w="15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Employee</w:t>
            </w:r>
          </w:p>
        </w:tc>
        <w:tc>
          <w:tcPr>
            <w:tcW w:type="dxa" w:w="46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Indique si l’utilisateur a déjà répondu aujourd’hui.</w:t>
            </w:r>
          </w:p>
        </w:tc>
      </w:tr>
      <w:tr>
        <w:trPr>
          <w:cantSplit/>
          <w:tblHeader w:val="off"/>
        </w:trPr>
        <w:tc>
          <w:tcPr>
            <w:tcW w:type="dxa" w:w="29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upsert_prediction(score)</w:t>
            </w:r>
          </w:p>
        </w:tc>
        <w:tc>
          <w:tcPr>
            <w:tcW w:type="dxa" w:w="15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Manager</w:t>
            </w:r>
          </w:p>
        </w:tc>
        <w:tc>
          <w:tcPr>
            <w:tcW w:type="dxa" w:w="46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Enregistre ou met à jour le pronostic de la semaine en cours.</w:t>
            </w:r>
          </w:p>
        </w:tc>
      </w:tr>
      <w:tr>
        <w:trPr>
          <w:cantSplit/>
          <w:tblHeader w:val="off"/>
        </w:trPr>
        <w:tc>
          <w:tcPr>
            <w:tcW w:type="dxa" w:w="29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get_mirror(days = 30)</w:t>
            </w:r>
          </w:p>
        </w:tc>
        <w:tc>
          <w:tcPr>
            <w:tcW w:type="dxa" w:w="15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Manager</w:t>
            </w:r>
          </w:p>
        </w:tc>
        <w:tc>
          <w:tcPr>
            <w:tcW w:type="dxa" w:w="46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Vérifie que l’appelant est manager, puis renvoie moyennes (seuil de 5), pronostics, écart et tag dominant.</w:t>
            </w:r>
          </w:p>
        </w:tc>
      </w:tr>
    </w:tbl>
    <w:p>
      <w:pPr>
        <w:spacing w:after="120"/>
      </w:pPr>
    </w:p>
    <w:p>
      <w:pPr>
        <w:pStyle w:val="Heading2"/>
        <w:keepNext/>
      </w:pPr>
      <w:r>
        <w:t xml:space="preserve">Extrait : le cœur du Miroir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172A" w:color="auto" w:val="clear"/>
            <w:tcMar>
              <w:top w:type="dxa" w:w="200"/>
              <w:left w:type="dxa" w:w="280"/>
              <w:bottom w:type="dxa" w:w="200"/>
              <w:right w:type="dxa" w:w="200"/>
            </w:tcMar>
          </w:tcPr>
          <w:p>
            <w:pPr>
              <w:spacing w:after="100"/>
            </w:pPr>
            <w:r>
              <w:rPr>
                <w:rFonts w:ascii="Consolas" w:cs="Consolas" w:eastAsia="Consolas" w:hAnsi="Consolas"/>
                <w:b/>
                <w:bCs/>
                <w:color w:val="A5B4FC"/>
                <w:sz w:val="17"/>
                <w:szCs w:val="17"/>
              </w:rPr>
              <w:t xml:space="preserve">supabase/migrations/002_mirror.sql</w:t>
            </w:r>
          </w:p>
          <w:p>
            <w:pPr>
              <w:spacing w:after="0" w:line="252"/>
            </w:pPr>
            <w:r>
              <w:rPr>
                <w:rFonts w:ascii="Consolas" w:cs="Consolas" w:eastAsia="Consolas" w:hAnsi="Consolas"/>
                <w:color w:val="94A3B8"/>
                <w:sz w:val="16"/>
                <w:szCs w:val="16"/>
              </w:rPr>
              <w:t xml:space="preserve">-- 1. Verrouiller la table des réponses</w:t>
            </w:r>
          </w:p>
          <w:p>
            <w:pPr>
              <w:spacing w:after="0" w:line="252"/>
            </w:pPr>
            <w:r>
              <w:rPr>
                <w:rFonts w:ascii="Consolas" w:cs="Consolas" w:eastAsia="Consolas" w:hAnsi="Consolas"/>
                <w:color w:val="E0E7FF"/>
                <w:sz w:val="16"/>
                <w:szCs w:val="16"/>
              </w:rPr>
              <w:t xml:space="preserve">alter table moods enable row level security;</w:t>
            </w:r>
          </w:p>
          <w:p>
            <w:pPr>
              <w:spacing w:after="0" w:line="252"/>
            </w:pPr>
            <w:r>
              <w:rPr>
                <w:rFonts w:ascii="Consolas" w:cs="Consolas" w:eastAsia="Consolas" w:hAnsi="Consolas"/>
                <w:color w:val="94A3B8"/>
                <w:sz w:val="16"/>
                <w:szCs w:val="16"/>
              </w:rPr>
              <w:t xml:space="preserve">-- aucune policy : aucune lecture ni écriture directe</w:t>
            </w:r>
          </w:p>
          <w:p>
            <w:pPr>
              <w:spacing w:after="0" w:line="252"/>
            </w:pPr>
            <w:r>
              <w:rPr>
                <w:rFonts w:ascii="Consolas" w:cs="Consolas" w:eastAsia="Consolas" w:hAnsi="Consolas"/>
                <w:color w:val="E0E7FF"/>
                <w:sz w:val="16"/>
                <w:szCs w:val="16"/>
              </w:rPr>
              <w:t xml:space="preserve"> </w:t>
            </w:r>
          </w:p>
          <w:p>
            <w:pPr>
              <w:spacing w:after="0" w:line="252"/>
            </w:pPr>
            <w:r>
              <w:rPr>
                <w:rFonts w:ascii="Consolas" w:cs="Consolas" w:eastAsia="Consolas" w:hAnsi="Consolas"/>
                <w:color w:val="94A3B8"/>
                <w:sz w:val="16"/>
                <w:szCs w:val="16"/>
              </w:rPr>
              <w:t xml:space="preserve">-- 2. La seule porte d’entrée pour le manager</w:t>
            </w:r>
          </w:p>
          <w:p>
            <w:pPr>
              <w:spacing w:after="0" w:line="252"/>
            </w:pPr>
            <w:r>
              <w:rPr>
                <w:rFonts w:ascii="Consolas" w:cs="Consolas" w:eastAsia="Consolas" w:hAnsi="Consolas"/>
                <w:color w:val="E0E7FF"/>
                <w:sz w:val="16"/>
                <w:szCs w:val="16"/>
              </w:rPr>
              <w:t xml:space="preserve">create function get_mirror(days int default 30)</w:t>
            </w:r>
          </w:p>
          <w:p>
            <w:pPr>
              <w:spacing w:after="0" w:line="252"/>
            </w:pPr>
            <w:r>
              <w:rPr>
                <w:rFonts w:ascii="Consolas" w:cs="Consolas" w:eastAsia="Consolas" w:hAnsi="Consolas"/>
                <w:color w:val="E0E7FF"/>
                <w:sz w:val="16"/>
                <w:szCs w:val="16"/>
              </w:rPr>
              <w:t xml:space="preserve">returns table(day date, team_avg numeric, responses int, prediction numeric)</w:t>
            </w:r>
          </w:p>
          <w:p>
            <w:pPr>
              <w:spacing w:after="0" w:line="252"/>
            </w:pPr>
            <w:r>
              <w:rPr>
                <w:rFonts w:ascii="Consolas" w:cs="Consolas" w:eastAsia="Consolas" w:hAnsi="Consolas"/>
                <w:color w:val="E0E7FF"/>
                <w:sz w:val="16"/>
                <w:szCs w:val="16"/>
              </w:rPr>
              <w:t xml:space="preserve">language sql security definer set search_path = public as $$</w:t>
            </w:r>
          </w:p>
          <w:p>
            <w:pPr>
              <w:spacing w:after="0" w:line="252"/>
            </w:pPr>
            <w:r>
              <w:rPr>
                <w:rFonts w:ascii="Consolas" w:cs="Consolas" w:eastAsia="Consolas" w:hAnsi="Consolas"/>
                <w:color w:val="E0E7FF"/>
                <w:sz w:val="16"/>
                <w:szCs w:val="16"/>
              </w:rPr>
              <w:t xml:space="preserve">  with me as (</w:t>
            </w:r>
          </w:p>
          <w:p>
            <w:pPr>
              <w:spacing w:after="0" w:line="252"/>
            </w:pPr>
            <w:r>
              <w:rPr>
                <w:rFonts w:ascii="Consolas" w:cs="Consolas" w:eastAsia="Consolas" w:hAnsi="Consolas"/>
                <w:color w:val="E0E7FF"/>
                <w:sz w:val="16"/>
                <w:szCs w:val="16"/>
              </w:rPr>
              <w:t xml:space="preserve">    select id as team_id from teams where manager_id = auth.uid()</w:t>
            </w:r>
          </w:p>
          <w:p>
            <w:pPr>
              <w:spacing w:after="0" w:line="252"/>
            </w:pPr>
            <w:r>
              <w:rPr>
                <w:rFonts w:ascii="Consolas" w:cs="Consolas" w:eastAsia="Consolas" w:hAnsi="Consolas"/>
                <w:color w:val="E0E7FF"/>
                <w:sz w:val="16"/>
                <w:szCs w:val="16"/>
              </w:rPr>
              <w:t xml:space="preserve">  ), daily as (</w:t>
            </w:r>
          </w:p>
          <w:p>
            <w:pPr>
              <w:spacing w:after="0" w:line="252"/>
            </w:pPr>
            <w:r>
              <w:rPr>
                <w:rFonts w:ascii="Consolas" w:cs="Consolas" w:eastAsia="Consolas" w:hAnsi="Consolas"/>
                <w:color w:val="E0E7FF"/>
                <w:sz w:val="16"/>
                <w:szCs w:val="16"/>
              </w:rPr>
              <w:t xml:space="preserve">    select m.day, round(avg(m.score), 2) as team_avg, count(*)::int as responses</w:t>
            </w:r>
          </w:p>
          <w:p>
            <w:pPr>
              <w:spacing w:after="0" w:line="252"/>
            </w:pPr>
            <w:r>
              <w:rPr>
                <w:rFonts w:ascii="Consolas" w:cs="Consolas" w:eastAsia="Consolas" w:hAnsi="Consolas"/>
                <w:color w:val="E0E7FF"/>
                <w:sz w:val="16"/>
                <w:szCs w:val="16"/>
              </w:rPr>
              <w:t xml:space="preserve">    from moods m join me on m.team_id = me.team_id</w:t>
            </w:r>
          </w:p>
          <w:p>
            <w:pPr>
              <w:spacing w:after="0" w:line="252"/>
            </w:pPr>
            <w:r>
              <w:rPr>
                <w:rFonts w:ascii="Consolas" w:cs="Consolas" w:eastAsia="Consolas" w:hAnsi="Consolas"/>
                <w:color w:val="E0E7FF"/>
                <w:sz w:val="16"/>
                <w:szCs w:val="16"/>
              </w:rPr>
              <w:t xml:space="preserve">    where m.day &gt; current_date - days</w:t>
            </w:r>
          </w:p>
          <w:p>
            <w:pPr>
              <w:spacing w:after="0" w:line="252"/>
            </w:pPr>
            <w:r>
              <w:rPr>
                <w:rFonts w:ascii="Consolas" w:cs="Consolas" w:eastAsia="Consolas" w:hAnsi="Consolas"/>
                <w:color w:val="E0E7FF"/>
                <w:sz w:val="16"/>
                <w:szCs w:val="16"/>
              </w:rPr>
              <w:t xml:space="preserve">    group by m.day</w:t>
            </w:r>
          </w:p>
          <w:p>
            <w:pPr>
              <w:spacing w:after="0" w:line="252"/>
            </w:pPr>
            <w:r>
              <w:rPr>
                <w:rFonts w:ascii="Consolas" w:cs="Consolas" w:eastAsia="Consolas" w:hAnsi="Consolas"/>
                <w:color w:val="E0E7FF"/>
                <w:sz w:val="16"/>
                <w:szCs w:val="16"/>
              </w:rPr>
              <w:t xml:space="preserve">    having count(*) &gt;= 5          -- seuil d’anonymat</w:t>
            </w:r>
          </w:p>
          <w:p>
            <w:pPr>
              <w:spacing w:after="0" w:line="252"/>
            </w:pPr>
            <w:r>
              <w:rPr>
                <w:rFonts w:ascii="Consolas" w:cs="Consolas" w:eastAsia="Consolas" w:hAnsi="Consolas"/>
                <w:color w:val="E0E7FF"/>
                <w:sz w:val="16"/>
                <w:szCs w:val="16"/>
              </w:rPr>
              <w:t xml:space="preserve">  )</w:t>
            </w:r>
          </w:p>
          <w:p>
            <w:pPr>
              <w:spacing w:after="0" w:line="252"/>
            </w:pPr>
            <w:r>
              <w:rPr>
                <w:rFonts w:ascii="Consolas" w:cs="Consolas" w:eastAsia="Consolas" w:hAnsi="Consolas"/>
                <w:color w:val="E0E7FF"/>
                <w:sz w:val="16"/>
                <w:szCs w:val="16"/>
              </w:rPr>
              <w:t xml:space="preserve">  select d.day, d.team_avg, d.responses, p.score::numeric</w:t>
            </w:r>
          </w:p>
          <w:p>
            <w:pPr>
              <w:spacing w:after="0" w:line="252"/>
            </w:pPr>
            <w:r>
              <w:rPr>
                <w:rFonts w:ascii="Consolas" w:cs="Consolas" w:eastAsia="Consolas" w:hAnsi="Consolas"/>
                <w:color w:val="E0E7FF"/>
                <w:sz w:val="16"/>
                <w:szCs w:val="16"/>
              </w:rPr>
              <w:t xml:space="preserve">  from daily d</w:t>
            </w:r>
          </w:p>
          <w:p>
            <w:pPr>
              <w:spacing w:after="0" w:line="252"/>
            </w:pPr>
            <w:r>
              <w:rPr>
                <w:rFonts w:ascii="Consolas" w:cs="Consolas" w:eastAsia="Consolas" w:hAnsi="Consolas"/>
                <w:color w:val="E0E7FF"/>
                <w:sz w:val="16"/>
                <w:szCs w:val="16"/>
              </w:rPr>
              <w:t xml:space="preserve">  left join predictions p</w:t>
            </w:r>
          </w:p>
          <w:p>
            <w:pPr>
              <w:spacing w:after="0" w:line="252"/>
            </w:pPr>
            <w:r>
              <w:rPr>
                <w:rFonts w:ascii="Consolas" w:cs="Consolas" w:eastAsia="Consolas" w:hAnsi="Consolas"/>
                <w:color w:val="E0E7FF"/>
                <w:sz w:val="16"/>
                <w:szCs w:val="16"/>
              </w:rPr>
              <w:t xml:space="preserve">    on p.team_id = (select team_id from me)</w:t>
            </w:r>
          </w:p>
          <w:p>
            <w:pPr>
              <w:spacing w:after="0" w:line="252"/>
            </w:pPr>
            <w:r>
              <w:rPr>
                <w:rFonts w:ascii="Consolas" w:cs="Consolas" w:eastAsia="Consolas" w:hAnsi="Consolas"/>
                <w:color w:val="E0E7FF"/>
                <w:sz w:val="16"/>
                <w:szCs w:val="16"/>
              </w:rPr>
              <w:t xml:space="preserve">   and p.week_start = date_trunc('week', d.day)::date</w:t>
            </w:r>
          </w:p>
          <w:p>
            <w:pPr>
              <w:spacing w:after="0" w:line="252"/>
            </w:pPr>
            <w:r>
              <w:rPr>
                <w:rFonts w:ascii="Consolas" w:cs="Consolas" w:eastAsia="Consolas" w:hAnsi="Consolas"/>
                <w:color w:val="E0E7FF"/>
                <w:sz w:val="16"/>
                <w:szCs w:val="16"/>
              </w:rPr>
              <w:t xml:space="preserve">  order by d.day;</w:t>
            </w:r>
          </w:p>
          <w:p>
            <w:pPr>
              <w:spacing w:after="0" w:line="252"/>
            </w:pPr>
            <w:r>
              <w:rPr>
                <w:rFonts w:ascii="Consolas" w:cs="Consolas" w:eastAsia="Consolas" w:hAnsi="Consolas"/>
                <w:color w:val="E0E7FF"/>
                <w:sz w:val="16"/>
                <w:szCs w:val="16"/>
              </w:rPr>
              <w:t xml:space="preserve">$$;</w:t>
            </w:r>
          </w:p>
          <w:p>
            <w:pPr>
              <w:spacing w:after="0" w:line="252"/>
            </w:pPr>
            <w:r>
              <w:rPr>
                <w:rFonts w:ascii="Consolas" w:cs="Consolas" w:eastAsia="Consolas" w:hAnsi="Consolas"/>
                <w:color w:val="E0E7FF"/>
                <w:sz w:val="16"/>
                <w:szCs w:val="16"/>
              </w:rPr>
              <w:t xml:space="preserve"> </w:t>
            </w:r>
          </w:p>
          <w:p>
            <w:pPr>
              <w:spacing w:after="0" w:line="252"/>
            </w:pPr>
            <w:r>
              <w:rPr>
                <w:rFonts w:ascii="Consolas" w:cs="Consolas" w:eastAsia="Consolas" w:hAnsi="Consolas"/>
                <w:color w:val="E0E7FF"/>
                <w:sz w:val="16"/>
                <w:szCs w:val="16"/>
              </w:rPr>
              <w:t xml:space="preserve">revoke execute on function get_mirror from anon;</w:t>
            </w:r>
          </w:p>
          <w:p>
            <w:pPr>
              <w:spacing w:after="0" w:line="252"/>
            </w:pPr>
            <w:r>
              <w:rPr>
                <w:rFonts w:ascii="Consolas" w:cs="Consolas" w:eastAsia="Consolas" w:hAnsi="Consolas"/>
                <w:color w:val="E0E7FF"/>
                <w:sz w:val="16"/>
                <w:szCs w:val="16"/>
              </w:rPr>
              <w:t xml:space="preserve">grant execute on function get_mirror to authenticated;</w:t>
            </w:r>
          </w:p>
        </w:tc>
      </w:tr>
    </w:tbl>
    <w:p>
      <w:pPr>
        <w:spacing w:after="120"/>
      </w:pPr>
    </w:p>
    <w:p>
      <w:pPr>
        <w:spacing w:after="140" w:line="300"/>
      </w:pPr>
      <w:r>
        <w:t xml:space="preserve">Si l’appelant n’est manager d’aucune équipe, la sous-requête « me » est vide et la fonction ne renvoie rien. La version complète ajoute l’écart hebdomadaire et le tag dominant.</w:t>
      </w:r>
    </w:p>
    <w:p>
      <w:pPr>
        <w:pStyle w:val="Heading2"/>
        <w:keepNext/>
      </w:pPr>
      <w:r>
        <w:t xml:space="preserve">Qualité et 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Pratique</w:t>
            </w:r>
          </w:p>
        </w:tc>
        <w:tc>
          <w:tcPr>
            <w:tcW w:type="dxa" w:w="6426"/>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Mise en œuvre</w:t>
            </w:r>
          </w:p>
        </w:tc>
      </w:tr>
      <w:tr>
        <w:trPr>
          <w:cantSplit/>
          <w:tblHeader w:val="off"/>
        </w:trPr>
        <w:tc>
          <w:tcPr>
            <w:tcW w:type="dxa" w:w="26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Versionnage</w:t>
            </w:r>
          </w:p>
        </w:tc>
        <w:tc>
          <w:tcPr>
            <w:tcW w:type="dxa" w:w="64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GitHub, une branche par fonctionnalité, pull requests relues par un autre membre.</w:t>
            </w:r>
          </w:p>
        </w:tc>
      </w:tr>
      <w:tr>
        <w:trPr>
          <w:cantSplit/>
          <w:tblHeader w:val="off"/>
        </w:trPr>
        <w:tc>
          <w:tcPr>
            <w:tcW w:type="dxa" w:w="26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Migrations</w:t>
            </w:r>
          </w:p>
        </w:tc>
        <w:tc>
          <w:tcPr>
            <w:tcW w:type="dxa" w:w="64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Schéma SQL versionné dans le dépôt (supabase/migrations), rejouable en une commande.</w:t>
            </w:r>
          </w:p>
        </w:tc>
      </w:tr>
      <w:tr>
        <w:trPr>
          <w:cantSplit/>
          <w:tblHeader w:val="off"/>
        </w:trPr>
        <w:tc>
          <w:tcPr>
            <w:tcW w:type="dxa" w:w="26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Secrets</w:t>
            </w:r>
          </w:p>
        </w:tc>
        <w:tc>
          <w:tcPr>
            <w:tcW w:type="dxa" w:w="64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Clé « anon » seule dans l’app ; clé « service role » jamais embarquée ; sel de l’entry_key stocké côté base.</w:t>
            </w:r>
          </w:p>
        </w:tc>
      </w:tr>
      <w:tr>
        <w:trPr>
          <w:cantSplit/>
          <w:tblHeader w:val="off"/>
        </w:trPr>
        <w:tc>
          <w:tcPr>
            <w:tcW w:type="dxa" w:w="26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Typage</w:t>
            </w:r>
          </w:p>
        </w:tc>
        <w:tc>
          <w:tcPr>
            <w:tcW w:type="dxa" w:w="64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Types TypeScript générés depuis le schéma Supabase : le front et la base restent synchronisés.</w:t>
            </w:r>
          </w:p>
        </w:tc>
      </w:tr>
      <w:tr>
        <w:trPr>
          <w:cantSplit/>
          <w:tblHeader w:val="off"/>
        </w:trPr>
        <w:tc>
          <w:tcPr>
            <w:tcW w:type="dxa" w:w="26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Données de démo</w:t>
            </w:r>
          </w:p>
        </w:tc>
        <w:tc>
          <w:tcPr>
            <w:tcW w:type="dxa" w:w="64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Script de seed : une équipe, 8 collaborateurs, 30 jours de réponses réalistes.</w:t>
            </w:r>
          </w:p>
        </w:tc>
      </w:tr>
    </w:tbl>
    <w:p>
      <w:pPr>
        <w:pStyle w:val="Heading2"/>
        <w:keepNext/>
      </w:pPr>
      <w:r>
        <w:t xml:space="preserve">Alternative si l’équipe ne connaît pas React</w:t>
      </w:r>
    </w:p>
    <w:p>
      <w:pPr>
        <w:spacing w:after="140" w:line="300"/>
      </w:pPr>
      <w:r>
        <w:t xml:space="preserve">Garder </w:t>
      </w:r>
      <w:r>
        <w:rPr>
          <w:b/>
          <w:bCs/>
        </w:rPr>
        <w:t xml:space="preserve">Vue 3 + Capacitor</w:t>
      </w:r>
      <w:r>
        <w:t xml:space="preserve"> pour le front et </w:t>
      </w:r>
      <w:r>
        <w:rPr>
          <w:b/>
          <w:bCs/>
        </w:rPr>
        <w:t xml:space="preserve">Supabase</w:t>
      </w:r>
      <w:r>
        <w:t xml:space="preserve"> pour le back-end. L’essentiel de la valeur (anonymat par RLS, calcul du Miroir en SQL) reste identique. Découvrir un nouveau framework sur un projet de 10 jours est un risque plus grand que le gain d’une application native.</w:t>
      </w:r>
    </w:p>
    <w:p>
      <w:pPr>
        <w:pageBreakBefore/>
        <w:spacing w:after="0"/>
      </w:pPr>
      <w:r>
        <w:rPr>
          <w:b/>
          <w:bCs/>
          <w:color w:val="C7D2FE"/>
          <w:sz w:val="72"/>
          <w:szCs w:val="72"/>
        </w:rPr>
        <w:t xml:space="preserve">09</w:t>
      </w:r>
    </w:p>
    <w:p>
      <w:pPr>
        <w:pStyle w:val="Heading1"/>
      </w:pPr>
      <w:bookmarkStart w:name="_Toc9" w:id="9"/>
      <w:r>
        <w:t xml:space="preserve">Analyse SWOT</w:t>
      </w:r>
      <w:bookmarkEnd w:id="9"/>
    </w:p>
    <w:p>
      <w:pPr>
        <w:pBdr>
          <w:bottom w:val="single" w:color="E0E7FF" w:sz="6" w:space="10"/>
        </w:pBdr>
        <w:spacing w:after="280"/>
      </w:pPr>
      <w:r>
        <w:rPr>
          <w:i/>
          <w:iCs/>
          <w:color w:val="6B7280"/>
          <w:sz w:val="24"/>
          <w:szCs w:val="24"/>
        </w:rPr>
        <w:t xml:space="preserve">Lucides sur nos forces comme sur nos limites.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FFFFFF" w:sz="4"/>
              <w:left w:val="single" w:color="FFFFFF" w:sz="48"/>
              <w:bottom w:val="single" w:color="FFFFFF" w:sz="48"/>
              <w:right w:val="single" w:color="FFFFFF" w:sz="48"/>
            </w:tcBorders>
            <w:shd w:fill="D1FAE5" w:color="auto" w:val="clear"/>
            <w:tcMar>
              <w:top w:type="dxa" w:w="200"/>
              <w:left w:type="dxa" w:w="220"/>
              <w:bottom w:type="dxa" w:w="200"/>
              <w:right w:type="dxa" w:w="220"/>
            </w:tcMar>
          </w:tcPr>
          <w:p>
            <w:pPr>
              <w:spacing w:after="0"/>
            </w:pPr>
            <w:r>
              <w:rPr>
                <w:b/>
                <w:bCs/>
                <w:color w:val="047857"/>
                <w:sz w:val="34"/>
                <w:szCs w:val="34"/>
              </w:rPr>
              <w:t xml:space="preserve">Forces</w:t>
            </w:r>
          </w:p>
          <w:p>
            <w:pPr>
              <w:spacing w:after="120"/>
            </w:pPr>
            <w:r>
              <w:rPr>
                <w:color w:val="6B7280"/>
                <w:spacing w:val="20"/>
                <w:sz w:val="17"/>
                <w:szCs w:val="17"/>
              </w:rPr>
              <w:t xml:space="preserve">INTERNE · POSITIF</w:t>
            </w:r>
          </w:p>
          <w:p>
            <w:pPr>
              <w:pStyle w:val="ListParagraph"/>
              <w:numPr>
                <w:ilvl w:val="0"/>
                <w:numId w:val="2"/>
              </w:numPr>
              <w:spacing w:after="70" w:line="264"/>
            </w:pPr>
            <w:r>
              <w:rPr>
                <w:b/>
                <w:bCs/>
                <w:sz w:val="20"/>
                <w:szCs w:val="20"/>
              </w:rPr>
              <w:t xml:space="preserve">Concept unique</w:t>
            </w:r>
            <w:r>
              <w:rPr>
                <w:sz w:val="20"/>
                <w:szCs w:val="20"/>
              </w:rPr>
              <w:t xml:space="preserve"> : mesure de l’écart perception / réalité.</w:t>
            </w:r>
          </w:p>
          <w:p>
            <w:pPr>
              <w:pStyle w:val="ListParagraph"/>
              <w:numPr>
                <w:ilvl w:val="0"/>
                <w:numId w:val="2"/>
              </w:numPr>
              <w:spacing w:after="70" w:line="264"/>
            </w:pPr>
            <w:r>
              <w:rPr>
                <w:sz w:val="20"/>
                <w:szCs w:val="20"/>
              </w:rPr>
              <w:t xml:space="preserve">Répond directement au constat des </w:t>
            </w:r>
            <w:r>
              <w:rPr>
                <w:b/>
                <w:bCs/>
                <w:sz w:val="20"/>
                <w:szCs w:val="20"/>
              </w:rPr>
              <w:t xml:space="preserve">50 %</w:t>
            </w:r>
            <w:r>
              <w:rPr>
                <w:sz w:val="20"/>
                <w:szCs w:val="20"/>
              </w:rPr>
              <w:t xml:space="preserve">.</w:t>
            </w:r>
          </w:p>
          <w:p>
            <w:pPr>
              <w:pStyle w:val="ListParagraph"/>
              <w:numPr>
                <w:ilvl w:val="0"/>
                <w:numId w:val="2"/>
              </w:numPr>
              <w:spacing w:after="70" w:line="264"/>
            </w:pPr>
            <w:r>
              <w:rPr>
                <w:sz w:val="20"/>
                <w:szCs w:val="20"/>
              </w:rPr>
              <w:t xml:space="preserve">Manager </w:t>
            </w:r>
            <w:r>
              <w:rPr>
                <w:b/>
                <w:bCs/>
                <w:sz w:val="20"/>
                <w:szCs w:val="20"/>
              </w:rPr>
              <w:t xml:space="preserve">engagé</w:t>
            </w:r>
            <w:r>
              <w:rPr>
                <w:sz w:val="20"/>
                <w:szCs w:val="20"/>
              </w:rPr>
              <w:t xml:space="preserve"> par le pronostic.</w:t>
            </w:r>
          </w:p>
          <w:p>
            <w:pPr>
              <w:pStyle w:val="ListParagraph"/>
              <w:numPr>
                <w:ilvl w:val="0"/>
                <w:numId w:val="2"/>
              </w:numPr>
              <w:spacing w:after="70" w:line="264"/>
            </w:pPr>
            <w:r>
              <w:rPr>
                <w:sz w:val="20"/>
                <w:szCs w:val="20"/>
              </w:rPr>
              <w:t xml:space="preserve">Anonymat </w:t>
            </w:r>
            <w:r>
              <w:rPr>
                <w:b/>
                <w:bCs/>
                <w:sz w:val="20"/>
                <w:szCs w:val="20"/>
              </w:rPr>
              <w:t xml:space="preserve">prouvé</w:t>
            </w:r>
            <w:r>
              <w:rPr>
                <w:sz w:val="20"/>
                <w:szCs w:val="20"/>
              </w:rPr>
              <w:t xml:space="preserve"> par la base (RLS).</w:t>
            </w:r>
          </w:p>
          <w:p>
            <w:pPr>
              <w:pStyle w:val="ListParagraph"/>
              <w:numPr>
                <w:ilvl w:val="0"/>
                <w:numId w:val="2"/>
              </w:numPr>
              <w:spacing w:after="70" w:line="264"/>
            </w:pPr>
            <w:r>
              <w:rPr>
                <w:sz w:val="20"/>
                <w:szCs w:val="20"/>
              </w:rPr>
              <w:t xml:space="preserve">Stack moderne : app native, back-end hébergé.</w:t>
            </w:r>
          </w:p>
          <w:p>
            <w:pPr>
              <w:pStyle w:val="ListParagraph"/>
              <w:numPr>
                <w:ilvl w:val="0"/>
                <w:numId w:val="2"/>
              </w:numPr>
              <w:spacing w:after="70" w:line="264"/>
            </w:pPr>
            <w:r>
              <w:rPr>
                <w:sz w:val="20"/>
                <w:szCs w:val="20"/>
              </w:rPr>
              <w:t xml:space="preserve">Indicateur de succès clair : l’écart qui se réduit.</w:t>
            </w:r>
          </w:p>
        </w:tc>
        <w:tc>
          <w:tcPr>
            <w:tcW w:type="dxa" w:w="4513"/>
            <w:tcBorders>
              <w:top w:val="single" w:color="FFFFFF" w:sz="4"/>
              <w:left w:val="single" w:color="FFFFFF" w:sz="48"/>
              <w:bottom w:val="single" w:color="FFFFFF" w:sz="48"/>
              <w:right w:val="single" w:color="FFFFFF" w:sz="48"/>
            </w:tcBorders>
            <w:shd w:fill="FFE4E6" w:color="auto" w:val="clear"/>
            <w:tcMar>
              <w:top w:type="dxa" w:w="200"/>
              <w:left w:type="dxa" w:w="220"/>
              <w:bottom w:type="dxa" w:w="200"/>
              <w:right w:type="dxa" w:w="220"/>
            </w:tcMar>
          </w:tcPr>
          <w:p>
            <w:pPr>
              <w:spacing w:after="0"/>
            </w:pPr>
            <w:r>
              <w:rPr>
                <w:b/>
                <w:bCs/>
                <w:color w:val="BE123C"/>
                <w:sz w:val="34"/>
                <w:szCs w:val="34"/>
              </w:rPr>
              <w:t xml:space="preserve">Faiblesses</w:t>
            </w:r>
          </w:p>
          <w:p>
            <w:pPr>
              <w:spacing w:after="120"/>
            </w:pPr>
            <w:r>
              <w:rPr>
                <w:color w:val="6B7280"/>
                <w:spacing w:val="20"/>
                <w:sz w:val="17"/>
                <w:szCs w:val="17"/>
              </w:rPr>
              <w:t xml:space="preserve">INTERNE · NÉGATIF</w:t>
            </w:r>
          </w:p>
          <w:p>
            <w:pPr>
              <w:pStyle w:val="ListParagraph"/>
              <w:numPr>
                <w:ilvl w:val="0"/>
                <w:numId w:val="2"/>
              </w:numPr>
              <w:spacing w:after="70" w:line="264"/>
            </w:pPr>
            <w:r>
              <w:rPr>
                <w:sz w:val="20"/>
                <w:szCs w:val="20"/>
              </w:rPr>
              <w:t xml:space="preserve">Peu de points de pronostic (hebdomadaire).</w:t>
            </w:r>
          </w:p>
          <w:p>
            <w:pPr>
              <w:pStyle w:val="ListParagraph"/>
              <w:numPr>
                <w:ilvl w:val="0"/>
                <w:numId w:val="2"/>
              </w:numPr>
              <w:spacing w:after="70" w:line="264"/>
            </w:pPr>
            <w:r>
              <w:rPr>
                <w:sz w:val="20"/>
                <w:szCs w:val="20"/>
              </w:rPr>
              <w:t xml:space="preserve">Pronostics biaisables (toujours bas).</w:t>
            </w:r>
          </w:p>
          <w:p>
            <w:pPr>
              <w:pStyle w:val="ListParagraph"/>
              <w:numPr>
                <w:ilvl w:val="0"/>
                <w:numId w:val="2"/>
              </w:numPr>
              <w:spacing w:after="70" w:line="264"/>
            </w:pPr>
            <w:r>
              <w:rPr>
                <w:sz w:val="20"/>
                <w:szCs w:val="20"/>
              </w:rPr>
              <w:t xml:space="preserve">Seuil d’anonymat contraignant pour les petites équipes.</w:t>
            </w:r>
          </w:p>
          <w:p>
            <w:pPr>
              <w:pStyle w:val="ListParagraph"/>
              <w:numPr>
                <w:ilvl w:val="0"/>
                <w:numId w:val="2"/>
              </w:numPr>
              <w:spacing w:after="70" w:line="264"/>
            </w:pPr>
            <w:r>
              <w:rPr>
                <w:sz w:val="20"/>
                <w:szCs w:val="20"/>
              </w:rPr>
              <w:t xml:space="preserve">Dépend de la régularité des saisies.</w:t>
            </w:r>
          </w:p>
          <w:p>
            <w:pPr>
              <w:pStyle w:val="ListParagraph"/>
              <w:numPr>
                <w:ilvl w:val="0"/>
                <w:numId w:val="2"/>
              </w:numPr>
              <w:spacing w:after="70" w:line="264"/>
            </w:pPr>
            <w:r>
              <w:rPr>
                <w:sz w:val="20"/>
                <w:szCs w:val="20"/>
              </w:rPr>
              <w:t xml:space="preserve">Délai de 10 jours très court.</w:t>
            </w:r>
          </w:p>
        </w:tc>
      </w:tr>
      <w:tr>
        <w:trPr>
          <w:cantSplit/>
        </w:trPr>
        <w:tc>
          <w:tcPr>
            <w:tcW w:type="dxa" w:w="4513"/>
            <w:tcBorders>
              <w:top w:val="single" w:color="FFFFFF" w:sz="4"/>
              <w:left w:val="single" w:color="FFFFFF" w:sz="48"/>
              <w:bottom w:val="single" w:color="FFFFFF" w:sz="48"/>
              <w:right w:val="single" w:color="FFFFFF" w:sz="48"/>
            </w:tcBorders>
            <w:shd w:fill="DBEAFE" w:color="auto" w:val="clear"/>
            <w:tcMar>
              <w:top w:type="dxa" w:w="200"/>
              <w:left w:type="dxa" w:w="220"/>
              <w:bottom w:type="dxa" w:w="200"/>
              <w:right w:type="dxa" w:w="220"/>
            </w:tcMar>
          </w:tcPr>
          <w:p>
            <w:pPr>
              <w:spacing w:after="0"/>
            </w:pPr>
            <w:r>
              <w:rPr>
                <w:b/>
                <w:bCs/>
                <w:color w:val="1D4ED8"/>
                <w:sz w:val="34"/>
                <w:szCs w:val="34"/>
              </w:rPr>
              <w:t xml:space="preserve">Opportunités</w:t>
            </w:r>
          </w:p>
          <w:p>
            <w:pPr>
              <w:spacing w:after="120"/>
            </w:pPr>
            <w:r>
              <w:rPr>
                <w:color w:val="6B7280"/>
                <w:spacing w:val="20"/>
                <w:sz w:val="17"/>
                <w:szCs w:val="17"/>
              </w:rPr>
              <w:t xml:space="preserve">EXTERNE · POSITIF</w:t>
            </w:r>
          </w:p>
          <w:p>
            <w:pPr>
              <w:pStyle w:val="ListParagraph"/>
              <w:numPr>
                <w:ilvl w:val="0"/>
                <w:numId w:val="2"/>
              </w:numPr>
              <w:spacing w:after="70" w:line="264"/>
            </w:pPr>
            <w:r>
              <w:rPr>
                <w:sz w:val="20"/>
                <w:szCs w:val="20"/>
              </w:rPr>
              <w:t xml:space="preserve">Prise de conscience des risques psychosociaux.</w:t>
            </w:r>
          </w:p>
          <w:p>
            <w:pPr>
              <w:pStyle w:val="ListParagraph"/>
              <w:numPr>
                <w:ilvl w:val="0"/>
                <w:numId w:val="2"/>
              </w:numPr>
              <w:spacing w:after="70" w:line="264"/>
            </w:pPr>
            <w:r>
              <w:rPr>
                <w:sz w:val="20"/>
                <w:szCs w:val="20"/>
              </w:rPr>
              <w:t xml:space="preserve">Pression RSE et prévention de plus en plus suivies.</w:t>
            </w:r>
          </w:p>
          <w:p>
            <w:pPr>
              <w:pStyle w:val="ListParagraph"/>
              <w:numPr>
                <w:ilvl w:val="0"/>
                <w:numId w:val="2"/>
              </w:numPr>
              <w:spacing w:after="70" w:line="264"/>
            </w:pPr>
            <w:r>
              <w:rPr>
                <w:sz w:val="20"/>
                <w:szCs w:val="20"/>
              </w:rPr>
              <w:t xml:space="preserve">Marque employeur : argument de recrutement.</w:t>
            </w:r>
          </w:p>
          <w:p>
            <w:pPr>
              <w:pStyle w:val="ListParagraph"/>
              <w:numPr>
                <w:ilvl w:val="0"/>
                <w:numId w:val="2"/>
              </w:numPr>
              <w:spacing w:after="70" w:line="264"/>
            </w:pPr>
            <w:r>
              <w:rPr>
                <w:sz w:val="20"/>
                <w:szCs w:val="20"/>
              </w:rPr>
              <w:t xml:space="preserve">Extensions : prévision de tendance, Slack / Teams, vue RH agrégée.</w:t>
            </w:r>
          </w:p>
        </w:tc>
        <w:tc>
          <w:tcPr>
            <w:tcW w:type="dxa" w:w="4513"/>
            <w:tcBorders>
              <w:top w:val="single" w:color="FFFFFF" w:sz="4"/>
              <w:left w:val="single" w:color="FFFFFF" w:sz="48"/>
              <w:bottom w:val="single" w:color="FFFFFF" w:sz="48"/>
              <w:right w:val="single" w:color="FFFFFF" w:sz="48"/>
            </w:tcBorders>
            <w:shd w:fill="FEF3C7" w:color="auto" w:val="clear"/>
            <w:tcMar>
              <w:top w:type="dxa" w:w="200"/>
              <w:left w:type="dxa" w:w="220"/>
              <w:bottom w:type="dxa" w:w="200"/>
              <w:right w:type="dxa" w:w="220"/>
            </w:tcMar>
          </w:tcPr>
          <w:p>
            <w:pPr>
              <w:spacing w:after="0"/>
            </w:pPr>
            <w:r>
              <w:rPr>
                <w:b/>
                <w:bCs/>
                <w:color w:val="B45309"/>
                <w:sz w:val="34"/>
                <w:szCs w:val="34"/>
              </w:rPr>
              <w:t xml:space="preserve">Menaces</w:t>
            </w:r>
          </w:p>
          <w:p>
            <w:pPr>
              <w:spacing w:after="120"/>
            </w:pPr>
            <w:r>
              <w:rPr>
                <w:color w:val="6B7280"/>
                <w:spacing w:val="20"/>
                <w:sz w:val="17"/>
                <w:szCs w:val="17"/>
              </w:rPr>
              <w:t xml:space="preserve">EXTERNE · NÉGATIF</w:t>
            </w:r>
          </w:p>
          <w:p>
            <w:pPr>
              <w:pStyle w:val="ListParagraph"/>
              <w:numPr>
                <w:ilvl w:val="0"/>
                <w:numId w:val="2"/>
              </w:numPr>
              <w:spacing w:after="70" w:line="264"/>
            </w:pPr>
            <w:r>
              <w:rPr>
                <w:sz w:val="20"/>
                <w:szCs w:val="20"/>
              </w:rPr>
              <w:t xml:space="preserve">Méfiance des salariés sur l’anonymat.</w:t>
            </w:r>
          </w:p>
          <w:p>
            <w:pPr>
              <w:pStyle w:val="ListParagraph"/>
              <w:numPr>
                <w:ilvl w:val="0"/>
                <w:numId w:val="2"/>
              </w:numPr>
              <w:spacing w:after="70" w:line="264"/>
            </w:pPr>
            <w:r>
              <w:rPr>
                <w:sz w:val="20"/>
                <w:szCs w:val="20"/>
              </w:rPr>
              <w:t xml:space="preserve">Managers qui se sentiraient jugés.</w:t>
            </w:r>
          </w:p>
          <w:p>
            <w:pPr>
              <w:pStyle w:val="ListParagraph"/>
              <w:numPr>
                <w:ilvl w:val="0"/>
                <w:numId w:val="2"/>
              </w:numPr>
              <w:spacing w:after="70" w:line="264"/>
            </w:pPr>
            <w:r>
              <w:rPr>
                <w:sz w:val="20"/>
                <w:szCs w:val="20"/>
              </w:rPr>
              <w:t xml:space="preserve">Contraintes RGPD (données liées à la santé).</w:t>
            </w:r>
          </w:p>
          <w:p>
            <w:pPr>
              <w:pStyle w:val="ListParagraph"/>
              <w:numPr>
                <w:ilvl w:val="0"/>
                <w:numId w:val="2"/>
              </w:numPr>
              <w:spacing w:after="70" w:line="264"/>
            </w:pPr>
            <w:r>
              <w:rPr>
                <w:sz w:val="20"/>
                <w:szCs w:val="20"/>
              </w:rPr>
              <w:t xml:space="preserve">Baromètres sociaux déjà installés.</w:t>
            </w:r>
          </w:p>
          <w:p>
            <w:pPr>
              <w:pStyle w:val="ListParagraph"/>
              <w:numPr>
                <w:ilvl w:val="0"/>
                <w:numId w:val="2"/>
              </w:numPr>
              <w:spacing w:after="70" w:line="264"/>
            </w:pPr>
            <w:r>
              <w:rPr>
                <w:sz w:val="20"/>
                <w:szCs w:val="20"/>
              </w:rPr>
              <w:t xml:space="preserve">Lassitude après quelques semaines.</w:t>
            </w:r>
          </w:p>
        </w:tc>
      </w:tr>
    </w:tbl>
    <w:p>
      <w:pPr>
        <w:pStyle w:val="Heading2"/>
        <w:pageBreakBefore/>
      </w:pPr>
      <w:r>
        <w:t xml:space="preserve">Nos réponses aux faiblesses et menaces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Risque</w:t>
            </w:r>
          </w:p>
        </w:tc>
        <w:tc>
          <w:tcPr>
            <w:tcW w:type="dxa" w:w="6026"/>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Réponse apportée</w:t>
            </w:r>
          </w:p>
        </w:tc>
      </w:tr>
      <w:tr>
        <w:trPr>
          <w:cantSplit/>
          <w:tblHeader w:val="off"/>
        </w:trPr>
        <w:tc>
          <w:tcPr>
            <w:tcW w:type="dxa" w:w="3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Pronostic biaisé</w:t>
            </w:r>
          </w:p>
        </w:tc>
        <w:tc>
          <w:tcPr>
            <w:tcW w:type="dxa" w:w="60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Le score affiché est l’écart absolu : une sous-estimation compte aussi comme une mauvaise lecture.</w:t>
            </w:r>
          </w:p>
        </w:tc>
      </w:tr>
      <w:tr>
        <w:trPr>
          <w:cantSplit/>
          <w:tblHeader w:val="off"/>
        </w:trPr>
        <w:tc>
          <w:tcPr>
            <w:tcW w:type="dxa" w:w="3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Peu de points de pronostic</w:t>
            </w:r>
          </w:p>
        </w:tc>
        <w:tc>
          <w:tcPr>
            <w:tcW w:type="dxa" w:w="60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Rythme hebdomadaire assumé (paliers) ; la courbe équipe reste quotidienne.</w:t>
            </w:r>
          </w:p>
        </w:tc>
      </w:tr>
      <w:tr>
        <w:trPr>
          <w:cantSplit/>
          <w:tblHeader w:val="off"/>
        </w:trPr>
        <w:tc>
          <w:tcPr>
            <w:tcW w:type="dxa" w:w="3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Manager qui se sent jugé</w:t>
            </w:r>
          </w:p>
        </w:tc>
        <w:tc>
          <w:tcPr>
            <w:tcW w:type="dxa" w:w="60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Écart strictement privé, présenté comme un outil d’auto-coaching.</w:t>
            </w:r>
          </w:p>
        </w:tc>
      </w:tr>
      <w:tr>
        <w:trPr>
          <w:cantSplit/>
          <w:tblHeader w:val="off"/>
        </w:trPr>
        <w:tc>
          <w:tcPr>
            <w:tcW w:type="dxa" w:w="3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Méfiance sur l’anonymat</w:t>
            </w:r>
          </w:p>
        </w:tc>
        <w:tc>
          <w:tcPr>
            <w:tcW w:type="dxa" w:w="60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Onboarding explicatif, aucune vue individuelle, garantie technique par RLS.</w:t>
            </w:r>
          </w:p>
        </w:tc>
      </w:tr>
      <w:tr>
        <w:trPr>
          <w:cantSplit/>
          <w:tblHeader w:val="off"/>
        </w:trPr>
        <w:tc>
          <w:tcPr>
            <w:tcW w:type="dxa" w:w="3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Petites équipes</w:t>
            </w:r>
          </w:p>
        </w:tc>
        <w:tc>
          <w:tcPr>
            <w:tcW w:type="dxa" w:w="60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Seuil configurable ; en dessous, regroupement sur plusieurs jours.</w:t>
            </w:r>
          </w:p>
        </w:tc>
      </w:tr>
      <w:tr>
        <w:trPr>
          <w:cantSplit/>
          <w:tblHeader w:val="off"/>
        </w:trPr>
        <w:tc>
          <w:tcPr>
            <w:tcW w:type="dxa" w:w="3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Lassitude</w:t>
            </w:r>
          </w:p>
        </w:tc>
        <w:tc>
          <w:tcPr>
            <w:tcW w:type="dxa" w:w="60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Saisie en moins de 10 s, rappel quotidien, actions du manager visibles.</w:t>
            </w:r>
          </w:p>
        </w:tc>
      </w:tr>
    </w:tbl>
    <w:p>
      <w:pPr>
        <w:pageBreakBefore/>
        <w:spacing w:after="0"/>
      </w:pPr>
      <w:r>
        <w:rPr>
          <w:b/>
          <w:bCs/>
          <w:color w:val="C7D2FE"/>
          <w:sz w:val="72"/>
          <w:szCs w:val="72"/>
        </w:rPr>
        <w:t xml:space="preserve">10</w:t>
      </w:r>
    </w:p>
    <w:p>
      <w:pPr>
        <w:pStyle w:val="Heading1"/>
      </w:pPr>
      <w:bookmarkStart w:name="_Toc10" w:id="10"/>
      <w:r>
        <w:t xml:space="preserve">Organisation et planning</w:t>
      </w:r>
      <w:bookmarkEnd w:id="10"/>
    </w:p>
    <w:p>
      <w:pPr>
        <w:pBdr>
          <w:bottom w:val="single" w:color="E0E7FF" w:sz="6" w:space="10"/>
        </w:pBdr>
        <w:spacing w:after="280"/>
      </w:pPr>
      <w:r>
        <w:rPr>
          <w:i/>
          <w:iCs/>
          <w:color w:val="6B7280"/>
          <w:sz w:val="24"/>
          <w:szCs w:val="24"/>
        </w:rPr>
        <w:t xml:space="preserve">Dix jours, cinq rôles, un rendu.</w:t>
      </w:r>
    </w:p>
    <w:p>
      <w:pPr>
        <w:pStyle w:val="Heading2"/>
        <w:keepNext/>
      </w:pPr>
      <w:r>
        <w:t xml:space="preserve">Répartition des rôles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Rôle</w:t>
            </w:r>
          </w:p>
        </w:tc>
        <w:tc>
          <w:tcPr>
            <w:tcW w:type="dxa" w:w="6226"/>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Responsabilités</w:t>
            </w:r>
          </w:p>
        </w:tc>
      </w:tr>
      <w:tr>
        <w:trPr>
          <w:cantSplit/>
          <w:tblHeader w:val="off"/>
        </w:trPr>
        <w:tc>
          <w:tcPr>
            <w:tcW w:type="dxa" w:w="28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Chef de projet / UX</w:t>
            </w:r>
          </w:p>
        </w:tc>
        <w:tc>
          <w:tcPr>
            <w:tcW w:type="dxa" w:w="62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Planning, maquettes, parcours utilisateurs, onboarding, coordination.</w:t>
            </w:r>
          </w:p>
        </w:tc>
      </w:tr>
      <w:tr>
        <w:trPr>
          <w:cantSplit/>
          <w:tblHeader w:val="off"/>
        </w:trPr>
        <w:tc>
          <w:tcPr>
            <w:tcW w:type="dxa" w:w="28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Back-end (Supabase)</w:t>
            </w:r>
          </w:p>
        </w:tc>
        <w:tc>
          <w:tcPr>
            <w:tcW w:type="dxa" w:w="62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Schéma SQL, règles RLS, fonctions submit_mood et get_mirror, seed de démo.</w:t>
            </w:r>
          </w:p>
        </w:tc>
      </w:tr>
      <w:tr>
        <w:trPr>
          <w:cantSplit/>
          <w:tblHeader w:val="off"/>
        </w:trPr>
        <w:tc>
          <w:tcPr>
            <w:tcW w:type="dxa" w:w="28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Mobile (collaborateur)</w:t>
            </w:r>
          </w:p>
        </w:tc>
        <w:tc>
          <w:tcPr>
            <w:tcW w:type="dxa" w:w="62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Login, navigation selon le rôle, écran de saisie, notifications.</w:t>
            </w:r>
          </w:p>
        </w:tc>
      </w:tr>
      <w:tr>
        <w:trPr>
          <w:cantSplit/>
          <w:tblHeader w:val="off"/>
        </w:trPr>
        <w:tc>
          <w:tcPr>
            <w:tcW w:type="dxa" w:w="28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Mobile (manager)</w:t>
            </w:r>
          </w:p>
        </w:tc>
        <w:tc>
          <w:tcPr>
            <w:tcW w:type="dxa" w:w="62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Pronostic, graphe du Miroir, annotations, pistes d’action.</w:t>
            </w:r>
          </w:p>
        </w:tc>
      </w:tr>
      <w:tr>
        <w:trPr>
          <w:cantSplit/>
          <w:tblHeader w:val="off"/>
        </w:trPr>
        <w:tc>
          <w:tcPr>
            <w:tcW w:type="dxa" w:w="28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Qualité / communication</w:t>
            </w:r>
          </w:p>
        </w:tc>
        <w:tc>
          <w:tcPr>
            <w:tcW w:type="dxa" w:w="62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Tests, documentation, tutoriel, vidéo de démonstration.</w:t>
            </w:r>
          </w:p>
        </w:tc>
      </w:tr>
    </w:tbl>
    <w:p>
      <w:pPr>
        <w:spacing w:after="120"/>
      </w:pPr>
    </w:p>
    <w:p>
      <w:pPr>
        <w:pStyle w:val="Heading2"/>
        <w:keepNext/>
      </w:pPr>
      <w:r>
        <w:t xml:space="preserve">Planning</w:t>
      </w:r>
    </w:p>
    <w:p>
      <w:pPr>
        <w:spacing w:after="120" w:before="120"/>
        <w:jc w:val="center"/>
      </w:pPr>
      <w:r>
        <w:drawing>
          <wp:inline distT="0" distB="0" distL="0" distR="0">
            <wp:extent cx="5734050" cy="2505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4050" cy="2505075"/>
                    </a:xfrm>
                    <a:prstGeom prst="rect">
                      <a:avLst/>
                    </a:prstGeom>
                  </pic:spPr>
                </pic:pic>
              </a:graphicData>
            </a:graphic>
          </wp:inline>
        </w:drawing>
      </w:r>
    </w:p>
    <w:p>
      <w:pPr>
        <w:spacing w:after="240"/>
        <w:jc w:val="center"/>
      </w:pPr>
      <w:r>
        <w:rPr>
          <w:i/>
          <w:iCs/>
          <w:color w:val="6B7280"/>
          <w:sz w:val="18"/>
          <w:szCs w:val="18"/>
        </w:rPr>
        <w:t xml:space="preserve">Dates à confirmer avec l’équipe pédagogique.</w:t>
      </w:r>
    </w:p>
    <w:p>
      <w:pPr>
        <w:pStyle w:val="Heading2"/>
        <w:pageBreakBefore/>
      </w:pPr>
      <w:r>
        <w:t xml:space="preserve">Scénario de la vidéo de démonstration</w:t>
      </w:r>
    </w:p>
    <w:p>
      <w:pPr>
        <w:pStyle w:val="ListParagraph"/>
        <w:numPr>
          <w:ilvl w:val="0"/>
          <w:numId w:val="3"/>
        </w:numPr>
        <w:spacing w:after="80" w:line="288"/>
      </w:pPr>
      <w:r>
        <w:rPr>
          <w:b/>
          <w:bCs/>
        </w:rPr>
        <w:t xml:space="preserve">Le problème (15 s)</w:t>
      </w:r>
      <w:r>
        <w:t xml:space="preserve"> : les chiffres clés, « la moitié des salariés pense que sa détresse est ignorée ».</w:t>
      </w:r>
    </w:p>
    <w:p>
      <w:pPr>
        <w:pStyle w:val="ListParagraph"/>
        <w:numPr>
          <w:ilvl w:val="0"/>
          <w:numId w:val="3"/>
        </w:numPr>
        <w:spacing w:after="80" w:line="288"/>
      </w:pPr>
      <w:r>
        <w:rPr>
          <w:b/>
          <w:bCs/>
        </w:rPr>
        <w:t xml:space="preserve">Côté collaborateur</w:t>
      </w:r>
      <w:r>
        <w:t xml:space="preserve"> : connexion, onboarding sur l’anonymat, saisie en moins de 10 secondes.</w:t>
      </w:r>
    </w:p>
    <w:p>
      <w:pPr>
        <w:pStyle w:val="ListParagraph"/>
        <w:numPr>
          <w:ilvl w:val="0"/>
          <w:numId w:val="3"/>
        </w:numPr>
        <w:spacing w:after="80" w:line="288"/>
      </w:pPr>
      <w:r>
        <w:rPr>
          <w:b/>
          <w:bCs/>
        </w:rPr>
        <w:t xml:space="preserve">Côté manager</w:t>
      </w:r>
      <w:r>
        <w:t xml:space="preserve"> : pronostic optimiste, « mon équipe va bien, 4/5 ».</w:t>
      </w:r>
    </w:p>
    <w:p>
      <w:pPr>
        <w:pStyle w:val="ListParagraph"/>
        <w:numPr>
          <w:ilvl w:val="0"/>
          <w:numId w:val="3"/>
        </w:numPr>
        <w:spacing w:after="80" w:line="288"/>
      </w:pPr>
      <w:r>
        <w:rPr>
          <w:b/>
          <w:bCs/>
        </w:rPr>
        <w:t xml:space="preserve">La révélation</w:t>
      </w:r>
      <w:r>
        <w:t xml:space="preserve"> : le Miroir montre une équipe à 2/5, tag dominant « charge de travail ».</w:t>
      </w:r>
    </w:p>
    <w:p>
      <w:pPr>
        <w:pStyle w:val="ListParagraph"/>
        <w:numPr>
          <w:ilvl w:val="0"/>
          <w:numId w:val="3"/>
        </w:numPr>
        <w:spacing w:after="80" w:line="288"/>
      </w:pPr>
      <w:r>
        <w:rPr>
          <w:b/>
          <w:bCs/>
        </w:rPr>
        <w:t xml:space="preserve">L’action</w:t>
      </w:r>
      <w:r>
        <w:t xml:space="preserve"> : le manager rééquilibre la charge ; trois semaines plus tard, l’écart s’est refermé.</w:t>
      </w:r>
    </w:p>
    <w:p>
      <w:pPr>
        <w:pStyle w:val="ListParagraph"/>
        <w:numPr>
          <w:ilvl w:val="0"/>
          <w:numId w:val="3"/>
        </w:numPr>
        <w:spacing w:after="80" w:line="288"/>
      </w:pPr>
      <w:r>
        <w:rPr>
          <w:b/>
          <w:bCs/>
        </w:rPr>
        <w:t xml:space="preserve">La preuve</w:t>
      </w:r>
      <w:r>
        <w:t xml:space="preserve"> : une requête directe sur la table moods est refusée par la base.</w:t>
      </w:r>
    </w:p>
    <w:p>
      <w:pPr>
        <w:pStyle w:val="ListParagraph"/>
        <w:numPr>
          <w:ilvl w:val="0"/>
          <w:numId w:val="3"/>
        </w:numPr>
        <w:spacing w:after="80" w:line="288"/>
      </w:pPr>
      <w:r>
        <w:rPr>
          <w:b/>
          <w:bCs/>
        </w:rPr>
        <w:t xml:space="preserve">Conclusion</w:t>
      </w:r>
      <w:r>
        <w:t xml:space="preserve"> : « Moodly rend visible ce que le management ne voit pas. »</w:t>
      </w:r>
    </w:p>
    <w:p>
      <w:pPr>
        <w:pStyle w:val="Heading2"/>
        <w:keepNext/>
      </w:pPr>
      <w:r>
        <w:t xml:space="preserve">Indicateurs de succès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rPr>
        <w:tc>
          <w:tcPr>
            <w:tcW w:type="dxa" w:w="3008"/>
            <w:tcBorders>
              <w:top w:val="single" w:color="FFFFFF" w:sz="4"/>
              <w:left w:val="single" w:color="FFFFFF" w:sz="48"/>
              <w:bottom w:val="single" w:color="FFFFFF" w:sz="48"/>
              <w:right w:val="single" w:color="FFFFFF" w:sz="48"/>
            </w:tcBorders>
            <w:shd w:fill="EEF2FF" w:color="auto" w:val="clear"/>
            <w:tcMar>
              <w:top w:type="dxa" w:w="200"/>
              <w:left w:type="dxa" w:w="240"/>
              <w:bottom w:type="dxa" w:w="200"/>
              <w:right w:type="dxa" w:w="240"/>
            </w:tcMar>
          </w:tcPr>
          <w:p>
            <w:pPr>
              <w:spacing w:after="60"/>
            </w:pPr>
            <w:r>
              <w:rPr>
                <w:b/>
                <w:bCs/>
                <w:color w:val="4F46E5"/>
                <w:spacing w:val="30"/>
                <w:sz w:val="17"/>
                <w:szCs w:val="17"/>
              </w:rPr>
              <w:t xml:space="preserve">ADOPTION</w:t>
            </w:r>
          </w:p>
          <w:p>
            <w:pPr>
              <w:spacing w:after="80"/>
            </w:pPr>
            <w:r>
              <w:rPr>
                <w:b/>
                <w:bCs/>
                <w:color w:val="1E1B4B"/>
                <w:sz w:val="26"/>
                <w:szCs w:val="26"/>
              </w:rPr>
              <w:t xml:space="preserve">Taux de participation</w:t>
            </w:r>
          </w:p>
          <w:p>
            <w:pPr>
              <w:spacing w:after="40" w:line="276"/>
            </w:pPr>
            <w:r>
              <w:rPr>
                <w:sz w:val="20"/>
                <w:szCs w:val="20"/>
              </w:rPr>
              <w:t xml:space="preserve">Part des collaborateurs qui répondent chaque jour.</w:t>
            </w:r>
          </w:p>
        </w:tc>
        <w:tc>
          <w:tcPr>
            <w:tcW w:type="dxa" w:w="3008"/>
            <w:tcBorders>
              <w:top w:val="single" w:color="FFFFFF" w:sz="4"/>
              <w:left w:val="single" w:color="FFFFFF" w:sz="48"/>
              <w:bottom w:val="single" w:color="FFFFFF" w:sz="48"/>
              <w:right w:val="single" w:color="FFFFFF" w:sz="48"/>
            </w:tcBorders>
            <w:shd w:fill="FFE4E6" w:color="auto" w:val="clear"/>
            <w:tcMar>
              <w:top w:type="dxa" w:w="200"/>
              <w:left w:type="dxa" w:w="240"/>
              <w:bottom w:type="dxa" w:w="200"/>
              <w:right w:type="dxa" w:w="240"/>
            </w:tcMar>
          </w:tcPr>
          <w:p>
            <w:pPr>
              <w:spacing w:after="60"/>
            </w:pPr>
            <w:r>
              <w:rPr>
                <w:b/>
                <w:bCs/>
                <w:color w:val="BE123C"/>
                <w:spacing w:val="30"/>
                <w:sz w:val="17"/>
                <w:szCs w:val="17"/>
              </w:rPr>
              <w:t xml:space="preserve">LUCIDITÉ</w:t>
            </w:r>
          </w:p>
          <w:p>
            <w:pPr>
              <w:spacing w:after="80"/>
            </w:pPr>
            <w:r>
              <w:rPr>
                <w:b/>
                <w:bCs/>
                <w:color w:val="1E1B4B"/>
                <w:sz w:val="26"/>
                <w:szCs w:val="26"/>
              </w:rPr>
              <w:t xml:space="preserve">Écart moyen</w:t>
            </w:r>
          </w:p>
          <w:p>
            <w:pPr>
              <w:spacing w:after="40" w:line="276"/>
            </w:pPr>
            <w:r>
              <w:rPr>
                <w:sz w:val="20"/>
                <w:szCs w:val="20"/>
              </w:rPr>
              <w:t xml:space="preserve">Écart perception / réalité sur les 30 derniers jours.</w:t>
            </w:r>
          </w:p>
        </w:tc>
        <w:tc>
          <w:tcPr>
            <w:tcW w:type="dxa" w:w="3010"/>
            <w:tcBorders>
              <w:top w:val="single" w:color="FFFFFF" w:sz="4"/>
              <w:left w:val="single" w:color="FFFFFF" w:sz="48"/>
              <w:bottom w:val="single" w:color="FFFFFF" w:sz="48"/>
              <w:right w:val="single" w:color="FFFFFF" w:sz="48"/>
            </w:tcBorders>
            <w:shd w:fill="D1FAE5" w:color="auto" w:val="clear"/>
            <w:tcMar>
              <w:top w:type="dxa" w:w="200"/>
              <w:left w:type="dxa" w:w="240"/>
              <w:bottom w:type="dxa" w:w="200"/>
              <w:right w:type="dxa" w:w="240"/>
            </w:tcMar>
          </w:tcPr>
          <w:p>
            <w:pPr>
              <w:spacing w:after="60"/>
            </w:pPr>
            <w:r>
              <w:rPr>
                <w:b/>
                <w:bCs/>
                <w:color w:val="047857"/>
                <w:spacing w:val="30"/>
                <w:sz w:val="17"/>
                <w:szCs w:val="17"/>
              </w:rPr>
              <w:t xml:space="preserve">IMPACT</w:t>
            </w:r>
          </w:p>
          <w:p>
            <w:pPr>
              <w:spacing w:after="80"/>
            </w:pPr>
            <w:r>
              <w:rPr>
                <w:b/>
                <w:bCs/>
                <w:color w:val="1E1B4B"/>
                <w:sz w:val="26"/>
                <w:szCs w:val="26"/>
              </w:rPr>
              <w:t xml:space="preserve">Écart qui se réduit</w:t>
            </w:r>
          </w:p>
          <w:p>
            <w:pPr>
              <w:spacing w:after="40" w:line="276"/>
            </w:pPr>
            <w:r>
              <w:rPr>
                <w:sz w:val="20"/>
                <w:szCs w:val="20"/>
              </w:rPr>
              <w:t xml:space="preserve">L’indicateur central : le manager lit mieux son équipe.</w:t>
            </w:r>
          </w:p>
        </w:tc>
      </w:tr>
    </w:tbl>
    <w:p>
      <w:pPr>
        <w:pageBreakBefore/>
        <w:spacing w:after="0"/>
      </w:pPr>
      <w:r>
        <w:rPr>
          <w:b/>
          <w:bCs/>
          <w:color w:val="C7D2FE"/>
          <w:sz w:val="72"/>
          <w:szCs w:val="72"/>
        </w:rPr>
        <w:t xml:space="preserve">11</w:t>
      </w:r>
    </w:p>
    <w:p>
      <w:pPr>
        <w:pStyle w:val="Heading1"/>
      </w:pPr>
      <w:bookmarkStart w:name="_Toc11" w:id="11"/>
      <w:r>
        <w:t xml:space="preserve">Et après le MVP ?</w:t>
      </w:r>
      <w:bookmarkEnd w:id="11"/>
    </w:p>
    <w:p>
      <w:pPr>
        <w:pBdr>
          <w:bottom w:val="single" w:color="E0E7FF" w:sz="6" w:space="10"/>
        </w:pBdr>
        <w:spacing w:after="280"/>
      </w:pPr>
      <w:r>
        <w:rPr>
          <w:i/>
          <w:iCs/>
          <w:color w:val="6B7280"/>
          <w:sz w:val="24"/>
          <w:szCs w:val="24"/>
        </w:rPr>
        <w:t xml:space="preserve">Les pistes pour aller plus loin.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Horizon</w:t>
            </w:r>
          </w:p>
        </w:tc>
        <w:tc>
          <w:tcPr>
            <w:tcW w:type="dxa" w:w="7026"/>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Évolutions</w:t>
            </w:r>
          </w:p>
        </w:tc>
      </w:tr>
      <w:tr>
        <w:trPr>
          <w:cantSplit/>
          <w:tblHeader w:val="off"/>
        </w:trPr>
        <w:tc>
          <w:tcPr>
            <w:tcW w:type="dxa" w:w="2000"/>
            <w:tcBorders>
              <w:top w:val="single" w:color="E0E7FF" w:sz="4"/>
              <w:left w:val="single" w:color="E0E7FF" w:sz="4"/>
              <w:bottom w:val="single" w:color="E0E7FF" w:sz="4"/>
              <w:right w:val="single" w:color="E0E7FF" w:sz="4"/>
            </w:tcBorders>
            <w:shd w:fill="EEF2FF" w:color="auto" w:val="clear"/>
            <w:tcMar>
              <w:top w:type="dxa" w:w="90"/>
              <w:left w:type="dxa" w:w="130"/>
              <w:bottom w:type="dxa" w:w="90"/>
              <w:right w:type="dxa" w:w="130"/>
            </w:tcMar>
            <w:vAlign w:val="top"/>
          </w:tcPr>
          <w:p>
            <w:pPr>
              <w:spacing w:after="40" w:line="264"/>
            </w:pPr>
            <w:r>
              <w:rPr>
                <w:b/>
                <w:bCs/>
                <w:sz w:val="20"/>
                <w:szCs w:val="20"/>
              </w:rPr>
              <w:t xml:space="preserve">V1.1</w:t>
            </w:r>
          </w:p>
        </w:tc>
        <w:tc>
          <w:tcPr>
            <w:tcW w:type="dxa" w:w="70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Historique personnel pour le collaborateur.</w:t>
            </w:r>
          </w:p>
          <w:p>
            <w:pPr>
              <w:spacing w:after="40" w:line="264"/>
            </w:pPr>
            <w:r>
              <w:rPr>
                <w:sz w:val="20"/>
                <w:szCs w:val="20"/>
              </w:rPr>
              <w:t xml:space="preserve">Ressources d’aide après une saisie très basse (médecine du travail, numéros de soutien).</w:t>
            </w:r>
          </w:p>
        </w:tc>
      </w:tr>
      <w:tr>
        <w:trPr>
          <w:cantSplit/>
          <w:tblHeader w:val="off"/>
        </w:trPr>
        <w:tc>
          <w:tcPr>
            <w:tcW w:type="dxa" w:w="2000"/>
            <w:tcBorders>
              <w:top w:val="single" w:color="E0E7FF" w:sz="4"/>
              <w:left w:val="single" w:color="E0E7FF" w:sz="4"/>
              <w:bottom w:val="single" w:color="E0E7FF" w:sz="4"/>
              <w:right w:val="single" w:color="E0E7FF" w:sz="4"/>
            </w:tcBorders>
            <w:shd w:fill="EEF2FF" w:color="auto" w:val="clear"/>
            <w:tcMar>
              <w:top w:type="dxa" w:w="90"/>
              <w:left w:type="dxa" w:w="130"/>
              <w:bottom w:type="dxa" w:w="90"/>
              <w:right w:type="dxa" w:w="130"/>
            </w:tcMar>
            <w:vAlign w:val="top"/>
          </w:tcPr>
          <w:p>
            <w:pPr>
              <w:spacing w:after="40" w:line="264"/>
            </w:pPr>
            <w:r>
              <w:rPr>
                <w:b/>
                <w:bCs/>
                <w:sz w:val="20"/>
                <w:szCs w:val="20"/>
              </w:rPr>
              <w:t xml:space="preserve">V1.2</w:t>
            </w:r>
          </w:p>
        </w:tc>
        <w:tc>
          <w:tcPr>
            <w:tcW w:type="dxa" w:w="70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Prévision de tendance sur 7 jours : anticiper la « tempête » avant qu’elle n’arrive.</w:t>
            </w:r>
          </w:p>
          <w:p>
            <w:pPr>
              <w:spacing w:after="40" w:line="264"/>
            </w:pPr>
            <w:r>
              <w:rPr>
                <w:sz w:val="20"/>
                <w:szCs w:val="20"/>
              </w:rPr>
              <w:t xml:space="preserve">Filtre par tag sur le graphe.</w:t>
            </w:r>
          </w:p>
        </w:tc>
      </w:tr>
      <w:tr>
        <w:trPr>
          <w:cantSplit/>
          <w:tblHeader w:val="off"/>
        </w:trPr>
        <w:tc>
          <w:tcPr>
            <w:tcW w:type="dxa" w:w="2000"/>
            <w:tcBorders>
              <w:top w:val="single" w:color="E0E7FF" w:sz="4"/>
              <w:left w:val="single" w:color="E0E7FF" w:sz="4"/>
              <w:bottom w:val="single" w:color="E0E7FF" w:sz="4"/>
              <w:right w:val="single" w:color="E0E7FF" w:sz="4"/>
            </w:tcBorders>
            <w:shd w:fill="EEF2FF" w:color="auto" w:val="clear"/>
            <w:tcMar>
              <w:top w:type="dxa" w:w="90"/>
              <w:left w:type="dxa" w:w="130"/>
              <w:bottom w:type="dxa" w:w="90"/>
              <w:right w:type="dxa" w:w="130"/>
            </w:tcMar>
            <w:vAlign w:val="top"/>
          </w:tcPr>
          <w:p>
            <w:pPr>
              <w:spacing w:after="40" w:line="264"/>
            </w:pPr>
            <w:r>
              <w:rPr>
                <w:b/>
                <w:bCs/>
                <w:sz w:val="20"/>
                <w:szCs w:val="20"/>
              </w:rPr>
              <w:t xml:space="preserve">V2</w:t>
            </w:r>
          </w:p>
        </w:tc>
        <w:tc>
          <w:tcPr>
            <w:tcW w:type="dxa" w:w="70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Intégration Slack / Teams pour répondre sans ouvrir l’app.</w:t>
            </w:r>
          </w:p>
          <w:p>
            <w:pPr>
              <w:spacing w:after="40" w:line="264"/>
            </w:pPr>
            <w:r>
              <w:rPr>
                <w:sz w:val="20"/>
                <w:szCs w:val="20"/>
              </w:rPr>
              <w:t xml:space="preserve">Vue RH agrégée multi-équipes, toujours anonymisée.</w:t>
            </w:r>
          </w:p>
          <w:p>
            <w:pPr>
              <w:spacing w:after="40" w:line="264"/>
            </w:pPr>
            <w:r>
              <w:rPr>
                <w:sz w:val="20"/>
                <w:szCs w:val="20"/>
              </w:rPr>
              <w:t xml:space="preserve">Confidentialité différentielle : bruit ajouté sur l’appareil avant envoi.</w:t>
            </w:r>
          </w:p>
        </w:tc>
      </w:tr>
    </w:tbl>
    <w:p>
      <w:pPr>
        <w:pageBreakBefore/>
        <w:spacing w:after="0"/>
      </w:pPr>
      <w:r>
        <w:rPr>
          <w:b/>
          <w:bCs/>
          <w:color w:val="C7D2FE"/>
          <w:sz w:val="72"/>
          <w:szCs w:val="72"/>
        </w:rPr>
        <w:t xml:space="preserve">12</w:t>
      </w:r>
    </w:p>
    <w:p>
      <w:pPr>
        <w:pStyle w:val="Heading1"/>
      </w:pPr>
      <w:bookmarkStart w:name="_Toc12" w:id="12"/>
      <w:r>
        <w:t xml:space="preserve">Compétences mobilisées</w:t>
      </w:r>
      <w:bookmarkEnd w:id="12"/>
    </w:p>
    <w:p>
      <w:pPr>
        <w:pBdr>
          <w:bottom w:val="single" w:color="E0E7FF" w:sz="6" w:space="10"/>
        </w:pBdr>
        <w:spacing w:after="280"/>
      </w:pPr>
      <w:r>
        <w:rPr>
          <w:i/>
          <w:iCs/>
          <w:color w:val="6B7280"/>
          <w:sz w:val="24"/>
          <w:szCs w:val="24"/>
        </w:rPr>
        <w:t xml:space="preserve">La grille de compétences, reliée au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326"/>
      </w:tblGrid>
      <w:tr>
        <w:trPr>
          <w:cantSplit/>
          <w:tblHeader/>
        </w:trPr>
        <w:tc>
          <w:tcPr>
            <w:tcW w:type="dxa" w:w="17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ID</w:t>
            </w:r>
          </w:p>
        </w:tc>
        <w:tc>
          <w:tcPr>
            <w:tcW w:type="dxa" w:w="4000"/>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Compétence</w:t>
            </w:r>
          </w:p>
        </w:tc>
        <w:tc>
          <w:tcPr>
            <w:tcW w:type="dxa" w:w="3326"/>
            <w:tcBorders>
              <w:top w:val="single" w:color="E0E7FF" w:sz="4"/>
              <w:left w:val="single" w:color="E0E7FF" w:sz="4"/>
              <w:bottom w:val="single" w:color="E0E7FF" w:sz="4"/>
              <w:right w:val="single" w:color="E0E7FF" w:sz="4"/>
            </w:tcBorders>
            <w:shd w:fill="1E1B4B" w:color="auto" w:val="clear"/>
            <w:tcMar>
              <w:top w:type="dxa" w:w="90"/>
              <w:left w:type="dxa" w:w="130"/>
              <w:bottom w:type="dxa" w:w="90"/>
              <w:right w:type="dxa" w:w="130"/>
            </w:tcMar>
            <w:vAlign w:val="top"/>
          </w:tcPr>
          <w:p>
            <w:pPr>
              <w:spacing w:after="40" w:line="264"/>
            </w:pPr>
            <w:r>
              <w:rPr>
                <w:b/>
                <w:bCs/>
                <w:color w:val="FFFFFF"/>
                <w:sz w:val="20"/>
                <w:szCs w:val="20"/>
              </w:rPr>
              <w:t xml:space="preserve">Mise en œuvre dans Moodly</w:t>
            </w:r>
          </w:p>
        </w:tc>
      </w:tr>
      <w:tr>
        <w:trPr>
          <w:cantSplit/>
          <w:tblHeader w:val="off"/>
        </w:trPr>
        <w:tc>
          <w:tcPr>
            <w:tcW w:type="dxa" w:w="17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00.05.B01</w:t>
            </w:r>
          </w:p>
        </w:tc>
        <w:tc>
          <w:tcPr>
            <w:tcW w:type="dxa" w:w="4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Communiquer clairement avec les parties prenantes</w:t>
            </w:r>
          </w:p>
        </w:tc>
        <w:tc>
          <w:tcPr>
            <w:tcW w:type="dxa" w:w="33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Pitch, vidéo de démo, soutenance.</w:t>
            </w:r>
          </w:p>
        </w:tc>
      </w:tr>
      <w:tr>
        <w:trPr>
          <w:cantSplit/>
          <w:tblHeader w:val="off"/>
        </w:trPr>
        <w:tc>
          <w:tcPr>
            <w:tcW w:type="dxa" w:w="17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01.03.B06</w:t>
            </w:r>
          </w:p>
        </w:tc>
        <w:tc>
          <w:tcPr>
            <w:tcW w:type="dxa" w:w="4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Rendre des données complexes compréhensibles visuellement</w:t>
            </w:r>
          </w:p>
        </w:tc>
        <w:tc>
          <w:tcPr>
            <w:tcW w:type="dxa" w:w="33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Graphe unique à deux courbes, zone d’écart, annotation.</w:t>
            </w:r>
          </w:p>
        </w:tc>
      </w:tr>
      <w:tr>
        <w:trPr>
          <w:cantSplit/>
          <w:tblHeader w:val="off"/>
        </w:trPr>
        <w:tc>
          <w:tcPr>
            <w:tcW w:type="dxa" w:w="17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01.02.B05</w:t>
            </w:r>
          </w:p>
        </w:tc>
        <w:tc>
          <w:tcPr>
            <w:tcW w:type="dxa" w:w="4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Identifier des critères d’analyse pertinents</w:t>
            </w:r>
          </w:p>
        </w:tc>
        <w:tc>
          <w:tcPr>
            <w:tcW w:type="dxa" w:w="33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L’écart perception / réalité comme indicateur central.</w:t>
            </w:r>
          </w:p>
        </w:tc>
      </w:tr>
      <w:tr>
        <w:trPr>
          <w:cantSplit/>
          <w:tblHeader w:val="off"/>
        </w:trPr>
        <w:tc>
          <w:tcPr>
            <w:tcW w:type="dxa" w:w="17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02.01.B06</w:t>
            </w:r>
          </w:p>
        </w:tc>
        <w:tc>
          <w:tcPr>
            <w:tcW w:type="dxa" w:w="4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Fournir des retours constructifs à ses pairs</w:t>
            </w:r>
          </w:p>
        </w:tc>
        <w:tc>
          <w:tcPr>
            <w:tcW w:type="dxa" w:w="33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Revues de code via pull requests.</w:t>
            </w:r>
          </w:p>
        </w:tc>
      </w:tr>
      <w:tr>
        <w:trPr>
          <w:cantSplit/>
          <w:tblHeader w:val="off"/>
        </w:trPr>
        <w:tc>
          <w:tcPr>
            <w:tcW w:type="dxa" w:w="17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02.02.B05</w:t>
            </w:r>
          </w:p>
        </w:tc>
        <w:tc>
          <w:tcPr>
            <w:tcW w:type="dxa" w:w="4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Créer un tutoriel</w:t>
            </w:r>
          </w:p>
        </w:tc>
        <w:tc>
          <w:tcPr>
            <w:tcW w:type="dxa" w:w="33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Guide d’installation et d’utilisation.</w:t>
            </w:r>
          </w:p>
        </w:tc>
      </w:tr>
      <w:tr>
        <w:trPr>
          <w:cantSplit/>
          <w:tblHeader w:val="off"/>
        </w:trPr>
        <w:tc>
          <w:tcPr>
            <w:tcW w:type="dxa" w:w="17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02.04.B02 / 03.04.B15</w:t>
            </w:r>
          </w:p>
        </w:tc>
        <w:tc>
          <w:tcPr>
            <w:tcW w:type="dxa" w:w="4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Utiliser Git pour collaborer</w:t>
            </w:r>
          </w:p>
        </w:tc>
        <w:tc>
          <w:tcPr>
            <w:tcW w:type="dxa" w:w="33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GitHub, branches, pull requests.</w:t>
            </w:r>
          </w:p>
        </w:tc>
      </w:tr>
      <w:tr>
        <w:trPr>
          <w:cantSplit/>
          <w:tblHeader w:val="off"/>
        </w:trPr>
        <w:tc>
          <w:tcPr>
            <w:tcW w:type="dxa" w:w="17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02.04.B03</w:t>
            </w:r>
          </w:p>
        </w:tc>
        <w:tc>
          <w:tcPr>
            <w:tcW w:type="dxa" w:w="4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Utiliser des outils de gestion de projet</w:t>
            </w:r>
          </w:p>
        </w:tc>
        <w:tc>
          <w:tcPr>
            <w:tcW w:type="dxa" w:w="33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GitHub Projects, planning.</w:t>
            </w:r>
          </w:p>
        </w:tc>
      </w:tr>
      <w:tr>
        <w:trPr>
          <w:cantSplit/>
          <w:tblHeader w:val="off"/>
        </w:trPr>
        <w:tc>
          <w:tcPr>
            <w:tcW w:type="dxa" w:w="17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02.05.B02</w:t>
            </w:r>
          </w:p>
        </w:tc>
        <w:tc>
          <w:tcPr>
            <w:tcW w:type="dxa" w:w="4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Respecter la vie privée des utilisateurs</w:t>
            </w:r>
          </w:p>
        </w:tc>
        <w:tc>
          <w:tcPr>
            <w:tcW w:type="dxa" w:w="33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Anonymat par RLS, seuil, absence d’identifiant.</w:t>
            </w:r>
          </w:p>
        </w:tc>
      </w:tr>
      <w:tr>
        <w:trPr>
          <w:cantSplit/>
          <w:tblHeader w:val="off"/>
        </w:trPr>
        <w:tc>
          <w:tcPr>
            <w:tcW w:type="dxa" w:w="17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03.01.B01</w:t>
            </w:r>
          </w:p>
        </w:tc>
        <w:tc>
          <w:tcPr>
            <w:tcW w:type="dxa" w:w="4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Rédiger la documentation du code</w:t>
            </w:r>
          </w:p>
        </w:tc>
        <w:tc>
          <w:tcPr>
            <w:tcW w:type="dxa" w:w="33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README, documentation du schéma et des fonctions SQL.</w:t>
            </w:r>
          </w:p>
        </w:tc>
      </w:tr>
      <w:tr>
        <w:trPr>
          <w:cantSplit/>
          <w:tblHeader w:val="off"/>
        </w:trPr>
        <w:tc>
          <w:tcPr>
            <w:tcW w:type="dxa" w:w="17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03.01.B03</w:t>
            </w:r>
          </w:p>
        </w:tc>
        <w:tc>
          <w:tcPr>
            <w:tcW w:type="dxa" w:w="4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Composer une image / vidéo numérique</w:t>
            </w:r>
          </w:p>
        </w:tc>
        <w:tc>
          <w:tcPr>
            <w:tcW w:type="dxa" w:w="33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Vidéo de démonstration.</w:t>
            </w:r>
          </w:p>
        </w:tc>
      </w:tr>
      <w:tr>
        <w:trPr>
          <w:cantSplit/>
          <w:tblHeader w:val="off"/>
        </w:trPr>
        <w:tc>
          <w:tcPr>
            <w:tcW w:type="dxa" w:w="17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03.01.B06</w:t>
            </w:r>
          </w:p>
        </w:tc>
        <w:tc>
          <w:tcPr>
            <w:tcW w:type="dxa" w:w="4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Concevoir une UX ergonomique</w:t>
            </w:r>
          </w:p>
        </w:tc>
        <w:tc>
          <w:tcPr>
            <w:tcW w:type="dxa" w:w="33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Saisie en moins de 10 s, onboarding, trois écrans.</w:t>
            </w:r>
          </w:p>
        </w:tc>
      </w:tr>
      <w:tr>
        <w:trPr>
          <w:cantSplit/>
          <w:tblHeader w:val="off"/>
        </w:trPr>
        <w:tc>
          <w:tcPr>
            <w:tcW w:type="dxa" w:w="17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03.02.B02</w:t>
            </w:r>
          </w:p>
        </w:tc>
        <w:tc>
          <w:tcPr>
            <w:tcW w:type="dxa" w:w="4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Utiliser des bibliothèques spécifiques</w:t>
            </w:r>
          </w:p>
        </w:tc>
        <w:tc>
          <w:tcPr>
            <w:tcW w:type="dxa" w:w="33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supabase-js, TanStack Query, Zod, gifted-charts.</w:t>
            </w:r>
          </w:p>
        </w:tc>
      </w:tr>
      <w:tr>
        <w:trPr>
          <w:cantSplit/>
          <w:tblHeader w:val="off"/>
        </w:trPr>
        <w:tc>
          <w:tcPr>
            <w:tcW w:type="dxa" w:w="17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03.04.B01</w:t>
            </w:r>
          </w:p>
        </w:tc>
        <w:tc>
          <w:tcPr>
            <w:tcW w:type="dxa" w:w="4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Développer une méthode d’authentification</w:t>
            </w:r>
          </w:p>
        </w:tc>
        <w:tc>
          <w:tcPr>
            <w:tcW w:type="dxa" w:w="33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Supabase Auth (JWT), rôles, RLS.</w:t>
            </w:r>
          </w:p>
        </w:tc>
      </w:tr>
      <w:tr>
        <w:trPr>
          <w:cantSplit/>
          <w:tblHeader w:val="off"/>
        </w:trPr>
        <w:tc>
          <w:tcPr>
            <w:tcW w:type="dxa" w:w="17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03.04.B02</w:t>
            </w:r>
          </w:p>
        </w:tc>
        <w:tc>
          <w:tcPr>
            <w:tcW w:type="dxa" w:w="4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Concevoir un protocole de transmission entre deux appareils</w:t>
            </w:r>
          </w:p>
        </w:tc>
        <w:tc>
          <w:tcPr>
            <w:tcW w:type="dxa" w:w="33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Échanges sécurisés app ↔ Supabase (HTTPS + JWT).</w:t>
            </w:r>
          </w:p>
        </w:tc>
      </w:tr>
      <w:tr>
        <w:trPr>
          <w:cantSplit/>
          <w:tblHeader w:val="off"/>
        </w:trPr>
        <w:tc>
          <w:tcPr>
            <w:tcW w:type="dxa" w:w="17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03.04.B03</w:t>
            </w:r>
          </w:p>
        </w:tc>
        <w:tc>
          <w:tcPr>
            <w:tcW w:type="dxa" w:w="4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Développer en utilisant un framework</w:t>
            </w:r>
          </w:p>
        </w:tc>
        <w:tc>
          <w:tcPr>
            <w:tcW w:type="dxa" w:w="33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Expo / React Native, Supabase.</w:t>
            </w:r>
          </w:p>
        </w:tc>
      </w:tr>
      <w:tr>
        <w:trPr>
          <w:cantSplit/>
          <w:tblHeader w:val="off"/>
        </w:trPr>
        <w:tc>
          <w:tcPr>
            <w:tcW w:type="dxa" w:w="17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04.02.B03</w:t>
            </w:r>
          </w:p>
        </w:tc>
        <w:tc>
          <w:tcPr>
            <w:tcW w:type="dxa" w:w="4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Évaluer les risques pour la santé liés au numérique</w:t>
            </w:r>
          </w:p>
        </w:tc>
        <w:tc>
          <w:tcPr>
            <w:tcW w:type="dxa" w:w="33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Sensibilité des données de moral, RGPD.</w:t>
            </w:r>
          </w:p>
        </w:tc>
      </w:tr>
      <w:tr>
        <w:trPr>
          <w:cantSplit/>
          <w:tblHeader w:val="off"/>
        </w:trPr>
        <w:tc>
          <w:tcPr>
            <w:tcW w:type="dxa" w:w="17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04.02.B04</w:t>
            </w:r>
          </w:p>
        </w:tc>
        <w:tc>
          <w:tcPr>
            <w:tcW w:type="dxa" w:w="4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Utiliser le numérique pour améliorer le bien-être</w:t>
            </w:r>
          </w:p>
        </w:tc>
        <w:tc>
          <w:tcPr>
            <w:tcW w:type="dxa" w:w="33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Finalité même de l’application.</w:t>
            </w:r>
          </w:p>
        </w:tc>
      </w:tr>
      <w:tr>
        <w:trPr>
          <w:cantSplit/>
          <w:tblHeader w:val="off"/>
        </w:trPr>
        <w:tc>
          <w:tcPr>
            <w:tcW w:type="dxa" w:w="17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04.02.B05</w:t>
            </w:r>
          </w:p>
        </w:tc>
        <w:tc>
          <w:tcPr>
            <w:tcW w:type="dxa" w:w="4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Prendre en compte la morale et l’éthique</w:t>
            </w:r>
          </w:p>
        </w:tc>
        <w:tc>
          <w:tcPr>
            <w:tcW w:type="dxa" w:w="33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Écart privé, pas de surveillance, minimisation.</w:t>
            </w:r>
          </w:p>
        </w:tc>
      </w:tr>
      <w:tr>
        <w:trPr>
          <w:cantSplit/>
          <w:tblHeader w:val="off"/>
        </w:trPr>
        <w:tc>
          <w:tcPr>
            <w:tcW w:type="dxa" w:w="17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05.01.B01</w:t>
            </w:r>
          </w:p>
        </w:tc>
        <w:tc>
          <w:tcPr>
            <w:tcW w:type="dxa" w:w="4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Suggérer une mise en œuvre réaliste</w:t>
            </w:r>
          </w:p>
        </w:tc>
        <w:tc>
          <w:tcPr>
            <w:tcW w:type="dxa" w:w="33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Périmètre MVP maîtrisé, planning de 10 jours.</w:t>
            </w:r>
          </w:p>
        </w:tc>
      </w:tr>
      <w:tr>
        <w:trPr>
          <w:cantSplit/>
          <w:tblHeader w:val="off"/>
        </w:trPr>
        <w:tc>
          <w:tcPr>
            <w:tcW w:type="dxa" w:w="17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05.01.B02</w:t>
            </w:r>
          </w:p>
        </w:tc>
        <w:tc>
          <w:tcPr>
            <w:tcW w:type="dxa" w:w="4000"/>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Fournir un prototype convaincant</w:t>
            </w:r>
          </w:p>
        </w:tc>
        <w:tc>
          <w:tcPr>
            <w:tcW w:type="dxa" w:w="3326"/>
            <w:tcBorders>
              <w:top w:val="single" w:color="E0E7FF" w:sz="4"/>
              <w:left w:val="single" w:color="E0E7FF" w:sz="4"/>
              <w:bottom w:val="single" w:color="E0E7FF" w:sz="4"/>
              <w:right w:val="single" w:color="E0E7FF" w:sz="4"/>
            </w:tcBorders>
            <w:shd w:fill="F8FAFC" w:color="auto" w:val="clear"/>
            <w:tcMar>
              <w:top w:type="dxa" w:w="90"/>
              <w:left w:type="dxa" w:w="130"/>
              <w:bottom w:type="dxa" w:w="90"/>
              <w:right w:type="dxa" w:w="130"/>
            </w:tcMar>
            <w:vAlign w:val="top"/>
          </w:tcPr>
          <w:p>
            <w:pPr>
              <w:spacing w:after="40" w:line="264"/>
            </w:pPr>
            <w:r>
              <w:rPr>
                <w:sz w:val="20"/>
                <w:szCs w:val="20"/>
              </w:rPr>
              <w:t xml:space="preserve">App fonctionnelle sur téléphone via Expo Go.</w:t>
            </w:r>
          </w:p>
        </w:tc>
      </w:tr>
      <w:tr>
        <w:trPr>
          <w:cantSplit/>
          <w:tblHeader w:val="off"/>
        </w:trPr>
        <w:tc>
          <w:tcPr>
            <w:tcW w:type="dxa" w:w="17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09.06.B02</w:t>
            </w:r>
          </w:p>
        </w:tc>
        <w:tc>
          <w:tcPr>
            <w:tcW w:type="dxa" w:w="4000"/>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Communiquer les bénéfices de la transformation digitale</w:t>
            </w:r>
          </w:p>
        </w:tc>
        <w:tc>
          <w:tcPr>
            <w:tcW w:type="dxa" w:w="3326"/>
            <w:tcBorders>
              <w:top w:val="single" w:color="E0E7FF" w:sz="4"/>
              <w:left w:val="single" w:color="E0E7FF" w:sz="4"/>
              <w:bottom w:val="single" w:color="E0E7FF" w:sz="4"/>
              <w:right w:val="single" w:color="E0E7FF" w:sz="4"/>
            </w:tcBorders>
            <w:shd w:fill="FFFFFF" w:color="auto" w:val="clear"/>
            <w:tcMar>
              <w:top w:type="dxa" w:w="90"/>
              <w:left w:type="dxa" w:w="130"/>
              <w:bottom w:type="dxa" w:w="90"/>
              <w:right w:type="dxa" w:w="130"/>
            </w:tcMar>
            <w:vAlign w:val="top"/>
          </w:tcPr>
          <w:p>
            <w:pPr>
              <w:spacing w:after="40" w:line="264"/>
            </w:pPr>
            <w:r>
              <w:rPr>
                <w:sz w:val="20"/>
                <w:szCs w:val="20"/>
              </w:rPr>
              <w:t xml:space="preserve">Conduite du changement, onboarding.</w:t>
            </w:r>
          </w:p>
        </w:tc>
      </w:tr>
    </w:tbl>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43F5E" w:sz="36"/>
              <w:bottom w:val="none" w:color="FFFFFF" w:sz="0"/>
              <w:right w:val="none" w:color="FFFFFF" w:sz="0"/>
            </w:tcBorders>
            <w:shd w:fill="FFE4E6" w:color="auto" w:val="clear"/>
            <w:tcMar>
              <w:top w:type="dxa" w:w="180"/>
              <w:left w:type="dxa" w:w="300"/>
              <w:bottom w:type="dxa" w:w="180"/>
              <w:right w:type="dxa" w:w="260"/>
            </w:tcMar>
          </w:tcPr>
          <w:p>
            <w:pPr>
              <w:spacing w:after="80"/>
            </w:pPr>
            <w:r>
              <w:rPr>
                <w:b/>
                <w:bCs/>
                <w:color w:val="F43F5E"/>
                <w:spacing w:val="30"/>
                <w:sz w:val="18"/>
                <w:szCs w:val="18"/>
              </w:rPr>
              <w:t xml:space="preserve">LE MOT DE LA FIN</w:t>
            </w:r>
          </w:p>
          <w:p>
            <w:pPr>
              <w:spacing w:after="60" w:line="300"/>
            </w:pPr>
            <w:r>
              <w:t xml:space="preserve">« Prove it, instead of faking it. » Moodly ne promet pas l’anonymat : il le prouve. Il ne suppose pas que le manager voit son équipe : il le mesure.</w:t>
            </w:r>
          </w:p>
        </w:tc>
      </w:tr>
    </w:tbl>
    <w:sectPr>
      <w:headerReference w:type="default" r:id="rId6"/>
      <w:footerReference w:type="default" r:id="rId7"/>
      <w:pgSz w:w="11906" w:h="16838" w:orient="portrait"/>
      <w:pgMar w:top="1300" w:right="1440" w:bottom="1300" w:left="1440"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b/>
        <w:bCs/>
        <w:color w:val="4F46E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4F46E5"/>
        <w:spacing w:val="40"/>
        <w:sz w:val="16"/>
        <w:szCs w:val="16"/>
      </w:rPr>
      <w:t xml:space="preserve">MOODLY</w:t>
    </w:r>
    <w:r>
      <w:rPr>
        <w:color w:val="6B7280"/>
        <w:sz w:val="16"/>
        <w:szCs w:val="16"/>
      </w:rPr>
      <w:t xml:space="preserve">   Le Miroir · Dossier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color w:val="4F46E5"/>
      </w:rPr>
    </w:lvl>
  </w:abstractNum>
  <w:abstractNum w:abstractNumId="3" w15:restartNumberingAfterBreak="0">
    <w:multiLevelType w:val="hybridMultilevel"/>
    <w:lvl w:ilvl="0" w:tentative="1">
      <w:start w:val="1"/>
      <w:numFmt w:val="decimal"/>
      <w:lvlText w:val="%1."/>
      <w:lvlJc w:val="left"/>
      <w:pPr>
        <w:ind w:left="460" w:hanging="320"/>
      </w:pPr>
      <w:rPr>
        <w:b/>
        <w:bCs/>
        <w:color w:val="4F46E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b/>
      <w:bCs/>
      <w:color w:val="1E1B4B"/>
      <w:sz w:val="48"/>
      <w:szCs w:val="48"/>
    </w:rPr>
  </w:style>
  <w:style w:type="paragraph" w:styleId="Heading2">
    <w:name w:val="Heading 2"/>
    <w:basedOn w:val="Normal"/>
    <w:next w:val="Normal"/>
    <w:qFormat/>
    <w:pPr>
      <w:spacing w:after="140" w:before="320"/>
      <w:outlineLvl w:val="1"/>
    </w:pPr>
    <w:rPr>
      <w:b/>
      <w:bCs/>
      <w:color w:val="4F46E5"/>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75f5cd396bd722cb11d5ae2fa9d53a558eb1a9f.png"/><Relationship Id="rId10" Type="http://schemas.openxmlformats.org/officeDocument/2006/relationships/image" Target="media/3c200eab60d2802c16eb5b536e9edde2b9f7d16d.png"/><Relationship Id="rId11" Type="http://schemas.openxmlformats.org/officeDocument/2006/relationships/image" Target="media/be87e62be3e919477f8d38a8c059e592346f516f.png"/><Relationship Id="rId12" Type="http://schemas.openxmlformats.org/officeDocument/2006/relationships/image" Target="media/6aa5979534e4b781f27518084699267c7ae962e1.png"/><Relationship Id="rId13" Type="http://schemas.openxmlformats.org/officeDocument/2006/relationships/image" Target="media/28bec05371ee311a052a6d14191403cc4a6000b5.png"/><Relationship Id="rId14" Type="http://schemas.openxmlformats.org/officeDocument/2006/relationships/image" Target="media/e502160514c8d5cc819229a3f751a8e0929c4afe.png"/><Relationship Id="rId15" Type="http://schemas.openxmlformats.org/officeDocument/2006/relationships/image" Target="media/7a63f7b40187e91baa23e61b405f7818f5c6364c.png"/><Relationship Id="rId16" Type="http://schemas.openxmlformats.org/officeDocument/2006/relationships/image" Target="media/b2740c8f3503f55d4d74606b0fca30d6369a1be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Moodly, le Miroir : dossier de projet</dc:title>
  <dc:creator>Équipe Moodly</dc:creator>
  <cp:lastModifiedBy>Un-named</cp:lastModifiedBy>
  <cp:revision>1</cp:revision>
  <dcterms:created xsi:type="dcterms:W3CDTF">2026-10-14T08:31:24.259Z</dcterms:created>
  <dcterms:modified xsi:type="dcterms:W3CDTF">2026-10-14T08:31:24.273Z</dcterms:modified>
</cp:coreProperties>
</file>

<file path=docProps/custom.xml><?xml version="1.0" encoding="utf-8"?>
<Properties xmlns="http://schemas.openxmlformats.org/officeDocument/2006/custom-properties" xmlns:vt="http://schemas.openxmlformats.org/officeDocument/2006/docPropsVTypes"/>
</file>