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0.png" ContentType="image/png"/>
  <Override PartName="/word/media/rId383.png" ContentType="image/png"/>
  <Override PartName="/word/media/rId386.png" ContentType="image/png"/>
  <Override PartName="/word/media/rId389.png" ContentType="image/png"/>
  <Override PartName="/word/media/rId392.png" ContentType="image/png"/>
  <Override PartName="/word/media/rId395.png" ContentType="image/png"/>
  <Override PartName="/word/media/rId398.png" ContentType="image/png"/>
  <Override PartName="/word/media/rId302.png" ContentType="image/png"/>
  <Override PartName="/word/media/rId305.png" ContentType="image/png"/>
  <Override PartName="/word/media/rId308.png" ContentType="image/png"/>
  <Override PartName="/word/media/rId311.png" ContentType="image/png"/>
  <Override PartName="/word/media/rId314.png" ContentType="image/png"/>
  <Override PartName="/word/media/rId317.png" ContentType="image/png"/>
  <Override PartName="/word/media/rId3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6" w:name="chapter-i"/>
    <w:p>
      <w:pPr>
        <w:pStyle w:val="Heading1"/>
      </w:pPr>
      <w:r>
        <w:t xml:space="preserve">CHAPTER I</w:t>
      </w:r>
    </w:p>
    <w:bookmarkStart w:id="335" w:name="the-problem-and-its-background"/>
    <w:p>
      <w:pPr>
        <w:pStyle w:val="Heading2"/>
      </w:pPr>
      <w:r>
        <w:t xml:space="preserve">THE PROBLEM AND ITS BACKGROUND</w:t>
      </w:r>
    </w:p>
    <w:p>
      <w:pPr>
        <w:pStyle w:val="FirstParagraph"/>
      </w:pPr>
      <w:r>
        <w:t xml:space="preserve">Chapter I sets out the background of the problem, the statement of the problem, the significance of the study, the scope and delimitation, and the definition of key terms for Re:Search, the hybrid content-based academic paper recommendation system developed in this study. It provides the context behind the system and states the study’s objective and questions.</w:t>
      </w:r>
    </w:p>
    <w:bookmarkStart w:id="329" w:name="introduction"/>
    <w:p>
      <w:pPr>
        <w:pStyle w:val="Heading3"/>
      </w:pPr>
      <w:r>
        <w:t xml:space="preserve">Introduction</w:t>
      </w:r>
    </w:p>
    <w:p>
      <w:pPr>
        <w:pStyle w:val="FirstParagraph"/>
      </w:pPr>
      <w:r>
        <w:t xml:space="preserve">Thesis writing begins with locating related literature: researchers must find prior studies, position their work against them, and avoid duplicating completed research, and each move depends on retrieving the right papers. The volume of published research makes that a retrieval problem in its own right, and research-paper recommender systems have been built to address it (Beel et al., 2016; Bai et al., 2019). This study designs and builds a recommendation system for that setting, then evaluates its configurations against one another.</w:t>
      </w:r>
    </w:p>
    <w:p>
      <w:pPr>
        <w:pStyle w:val="BodyText"/>
      </w:pPr>
      <w:r>
        <w:t xml:space="preserve">Philippine undergraduates typically find related literature by typing keywords into Google Scholar and library catalogs. Keyword retrieval works by exact term matching, and the vocabulary mismatch problem breaks it whenever authors and searchers use different words for the same idea: synonymy lets a paper on</w:t>
      </w:r>
      <w:r>
        <w:t xml:space="preserve"> </w:t>
      </w:r>
      <w:r>
        <w:t xml:space="preserve">“neural networks”</w:t>
      </w:r>
      <w:r>
        <w:t xml:space="preserve"> </w:t>
      </w:r>
      <w:r>
        <w:t xml:space="preserve">escape a search for</w:t>
      </w:r>
      <w:r>
        <w:t xml:space="preserve"> </w:t>
      </w:r>
      <w:r>
        <w:t xml:space="preserve">“deep learning,”</w:t>
      </w:r>
      <w:r>
        <w:t xml:space="preserve"> </w:t>
      </w:r>
      <w:r>
        <w:t xml:space="preserve">and polysemy lets one term pull in unrelated senses (Manning et al., 2008). Keyword search also ignores structured metadata such as publication year and venue, so a chronological search can surface dated work. Content-based research documents the same weakness: keyword profiles over-emphasize surface terms and under-use structured fields (Lops et al., 2011).</w:t>
      </w:r>
    </w:p>
    <w:p>
      <w:pPr>
        <w:pStyle w:val="BodyText"/>
      </w:pPr>
      <w:r>
        <w:t xml:space="preserve">Content-based filtering offers a principled alternative: recommend items whose features resemble the query or the user’s profile (Adomavicius &amp; Tuzhilin, 2005; Lops et al., 2011). The classical representation is TF-IDF term weighting, which measures a term’s importance within a document against its rarity across the corpus (Salton &amp; Buckley, 1988; Manning et al., 2008). Semantic embeddings extend this by mapping sentences and paragraphs into dense vectors, so Sentence-BERT can score similarity between texts that share no surface terms (Reimers &amp; Gurevych, 2019). Metadata adds a third signal: title, abstract, keywords, and publication year.</w:t>
      </w:r>
    </w:p>
    <w:p>
      <w:pPr>
        <w:pStyle w:val="BodyText"/>
      </w:pPr>
      <w:r>
        <w:t xml:space="preserve">Each signal fails differently when used alone. Lexical matching remains blind to paraphrase, because papers on the same topic written in different vocabularies share few terms (Manning et al., 2008; Lops et al., 2011). Semantic matching captures paraphrase but can drift toward broadly related material (Reimers &amp; Gurevych, 2019). Metadata alone cannot find conceptually related papers sharing no fields. Hybrid systems offset these weaknesses by combining signals (Burke, 2002). Yet surveys of research-paper recommenders find that most systems rely on a single representation and that few studies evaluate configurations comparatively (Beel et al., 2016; Bai et al., 2019).</w:t>
      </w:r>
    </w:p>
    <w:p>
      <w:pPr>
        <w:pStyle w:val="BodyText"/>
      </w:pPr>
      <w:r>
        <w:t xml:space="preserve">This study develops Re:Search, a local academic paper repository and recommendation system for thesis writing that the interface brands</w:t>
      </w:r>
      <w:r>
        <w:t xml:space="preserve"> </w:t>
      </w:r>
      <w:r>
        <w:t xml:space="preserve">“Re:Search · BulSU BSMCS.”</w:t>
      </w:r>
      <w:r>
        <w:t xml:space="preserve"> </w:t>
      </w:r>
      <w:r>
        <w:t xml:space="preserve">The system stores academic papers imported from PDF or BibTeX citations, including exports from Google Scholar, and validates each record for recommendation use: title, abstract, keywords, and publication year are required. Validated records become prepared text built from Title + Abstract + Keywords. Re:Search represents prepared text two ways, as TF-IDF vectors computed with scikit-learn and as S-BERT embeddings from the all-MiniLM-L6-v2 model, and scores candidates by cosine similarity. Three signal components, TF-IDF, S-BERT, and a Metadata component scoring title, abstract, keywords, and publication year at 25 percent each, yield six fixed pipeline configurations (Table 1) and a user-customizable dial allocation. On seed-paper searches all four metadata signals are active; on free-text queries the query text feeds the title, abstract, and keywords signals, while the year signal is absent. Search runs by free-text query or seed paper. TF-IDF and S-BERT component scores are min-max normalized before weighted combination, while metadata scores are already bounded in the 0 to 1 range and pass through unchanged; ties break by newer year, then title.</w:t>
      </w:r>
    </w:p>
    <w:p>
      <w:pPr>
        <w:pStyle w:val="BodyText"/>
      </w:pPr>
      <w:r>
        <w:t xml:space="preserve">Table 1</w:t>
      </w:r>
    </w:p>
    <w:p>
      <w:pPr>
        <w:pStyle w:val="BodyText"/>
      </w:pPr>
      <w:r>
        <w:t xml:space="preserve">The Six Pipeline Configurations of Re:Search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Pipeline</w:t>
            </w:r>
          </w:p>
        </w:tc>
        <w:tc>
          <w:tcPr/>
          <w:p>
            <w:pPr>
              <w:pStyle w:val="Compact"/>
            </w:pPr>
            <w:r>
              <w:t xml:space="preserve">Signals</w:t>
            </w:r>
          </w:p>
        </w:tc>
        <w:tc>
          <w:tcPr/>
          <w:p>
            <w:pPr>
              <w:pStyle w:val="Compact"/>
            </w:pPr>
            <w:r>
              <w:t xml:space="preserve">Weights</w:t>
            </w:r>
          </w:p>
        </w:tc>
      </w:tr>
      <w:tr>
        <w:tc>
          <w:tcPr/>
          <w:p>
            <w:pPr>
              <w:pStyle w:val="Compact"/>
            </w:pPr>
            <w:r>
              <w:t xml:space="preserve">TF-IDF</w:t>
            </w:r>
          </w:p>
        </w:tc>
        <w:tc>
          <w:tcPr/>
          <w:p>
            <w:pPr>
              <w:pStyle w:val="Compact"/>
            </w:pPr>
            <w:r>
              <w:t xml:space="preserve">Lexical only</w:t>
            </w:r>
          </w:p>
        </w:tc>
        <w:tc>
          <w:tcPr/>
          <w:p>
            <w:pPr>
              <w:pStyle w:val="Compact"/>
            </w:pPr>
            <w:r>
              <w:t xml:space="preserve">100% TF-IDF</w:t>
            </w:r>
          </w:p>
        </w:tc>
      </w:tr>
      <w:tr>
        <w:tc>
          <w:tcPr/>
          <w:p>
            <w:pPr>
              <w:pStyle w:val="Compact"/>
            </w:pPr>
            <w:r>
              <w:t xml:space="preserve">S-BERT</w:t>
            </w:r>
          </w:p>
        </w:tc>
        <w:tc>
          <w:tcPr/>
          <w:p>
            <w:pPr>
              <w:pStyle w:val="Compact"/>
            </w:pPr>
            <w:r>
              <w:t xml:space="preserve">Semantic only</w:t>
            </w:r>
          </w:p>
        </w:tc>
        <w:tc>
          <w:tcPr/>
          <w:p>
            <w:pPr>
              <w:pStyle w:val="Compact"/>
            </w:pPr>
            <w:r>
              <w:t xml:space="preserve">100% S-BERT</w:t>
            </w:r>
          </w:p>
        </w:tc>
      </w:tr>
      <w:tr>
        <w:tc>
          <w:tcPr/>
          <w:p>
            <w:pPr>
              <w:pStyle w:val="Compact"/>
            </w:pPr>
            <w:r>
              <w:t xml:space="preserve">TF-IDF + S-BERT</w:t>
            </w:r>
          </w:p>
        </w:tc>
        <w:tc>
          <w:tcPr/>
          <w:p>
            <w:pPr>
              <w:pStyle w:val="Compact"/>
            </w:pPr>
            <w:r>
              <w:t xml:space="preserve">Lexical + semantic</w:t>
            </w:r>
          </w:p>
        </w:tc>
        <w:tc>
          <w:tcPr/>
          <w:p>
            <w:pPr>
              <w:pStyle w:val="Compact"/>
            </w:pPr>
            <w:r>
              <w:t xml:space="preserve">50% / 50%</w:t>
            </w:r>
          </w:p>
        </w:tc>
      </w:tr>
      <w:tr>
        <w:tc>
          <w:tcPr/>
          <w:p>
            <w:pPr>
              <w:pStyle w:val="Compact"/>
            </w:pPr>
            <w:r>
              <w:t xml:space="preserve">TF-IDF + Metadata</w:t>
            </w:r>
          </w:p>
        </w:tc>
        <w:tc>
          <w:tcPr/>
          <w:p>
            <w:pPr>
              <w:pStyle w:val="Compact"/>
            </w:pPr>
            <w:r>
              <w:t xml:space="preserve">Lexical + metadata</w:t>
            </w:r>
          </w:p>
        </w:tc>
        <w:tc>
          <w:tcPr/>
          <w:p>
            <w:pPr>
              <w:pStyle w:val="Compact"/>
            </w:pPr>
            <w:r>
              <w:t xml:space="preserve">66.7% / 33.3%</w:t>
            </w:r>
          </w:p>
        </w:tc>
      </w:tr>
      <w:tr>
        <w:tc>
          <w:tcPr/>
          <w:p>
            <w:pPr>
              <w:pStyle w:val="Compact"/>
            </w:pPr>
            <w:r>
              <w:t xml:space="preserve">S-BERT + Metadata</w:t>
            </w:r>
          </w:p>
        </w:tc>
        <w:tc>
          <w:tcPr/>
          <w:p>
            <w:pPr>
              <w:pStyle w:val="Compact"/>
            </w:pPr>
            <w:r>
              <w:t xml:space="preserve">Semantic + metadata</w:t>
            </w:r>
          </w:p>
        </w:tc>
        <w:tc>
          <w:tcPr/>
          <w:p>
            <w:pPr>
              <w:pStyle w:val="Compact"/>
            </w:pPr>
            <w:r>
              <w:t xml:space="preserve">66.7% / 33.3%</w:t>
            </w:r>
          </w:p>
        </w:tc>
      </w:tr>
      <w:tr>
        <w:tc>
          <w:tcPr/>
          <w:p>
            <w:pPr>
              <w:pStyle w:val="Compact"/>
            </w:pPr>
            <w:r>
              <w:t xml:space="preserve">TF-IDF + S-BERT + Metadata</w:t>
            </w:r>
          </w:p>
        </w:tc>
        <w:tc>
          <w:tcPr/>
          <w:p>
            <w:pPr>
              <w:pStyle w:val="Compact"/>
            </w:pPr>
            <w:r>
              <w:t xml:space="preserve">Full hybrid</w:t>
            </w:r>
          </w:p>
        </w:tc>
        <w:tc>
          <w:tcPr/>
          <w:p>
            <w:pPr>
              <w:pStyle w:val="Compact"/>
            </w:pPr>
            <w:r>
              <w:t xml:space="preserve">40% / 40% / 20%</w:t>
            </w:r>
          </w:p>
        </w:tc>
      </w:tr>
    </w:tbl>
    <w:p>
      <w:pPr>
        <w:pStyle w:val="BodyText"/>
      </w:pPr>
      <w:r>
        <w:t xml:space="preserve">Comparative evaluation runs through the Arena, an instrument built into the system. Every Arena run executes all six pipelines on the same query or seed paper at a top-K of 5, 10, or 15, and reports four comparisons (Table 2): consensus ranking, pairwise agreement, the independence-weighted consensus winner, and the win tally with battle history. In the winner metric, one pipeline’s vote for a paper weighs 1 minus the Jaccard similarity of the two pipelines’ component sets, so no pipeline wins by confirmation from its own hybrids. Winning runs are logged to the battle history, and the Arena page tallies wins per pipeline, showing the champion and its streak. The local repository database held 168 paper records at the time of this revision, 145 of them valid for recommendation.</w:t>
      </w:r>
    </w:p>
    <w:p>
      <w:pPr>
        <w:pStyle w:val="BodyText"/>
      </w:pPr>
      <w:r>
        <w:t xml:space="preserve">Table 2</w:t>
      </w:r>
    </w:p>
    <w:p>
      <w:pPr>
        <w:pStyle w:val="BodyText"/>
      </w:pPr>
      <w:r>
        <w:t xml:space="preserve">Arena Comparison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What it reports</w:t>
            </w:r>
          </w:p>
        </w:tc>
      </w:tr>
      <w:tr>
        <w:tc>
          <w:tcPr/>
          <w:p>
            <w:pPr>
              <w:pStyle w:val="Compact"/>
            </w:pPr>
            <w:r>
              <w:t xml:space="preserve">Consensus ranking</w:t>
            </w:r>
          </w:p>
        </w:tc>
        <w:tc>
          <w:tcPr/>
          <w:p>
            <w:pPr>
              <w:pStyle w:val="Compact"/>
            </w:pPr>
            <w:r>
              <w:t xml:space="preserve">Ordered by votes across pipelines, then average rank</w:t>
            </w:r>
          </w:p>
        </w:tc>
      </w:tr>
      <w:tr>
        <w:tc>
          <w:tcPr/>
          <w:p>
            <w:pPr>
              <w:pStyle w:val="Compact"/>
            </w:pPr>
            <w:r>
              <w:t xml:space="preserve">Pairwise overlap at K</w:t>
            </w:r>
          </w:p>
        </w:tc>
        <w:tc>
          <w:tcPr/>
          <w:p>
            <w:pPr>
              <w:pStyle w:val="Compact"/>
            </w:pPr>
            <w:r>
              <w:t xml:space="preserve">Shared papers between two pipelines’ top-K results</w:t>
            </w:r>
          </w:p>
        </w:tc>
      </w:tr>
      <w:tr>
        <w:tc>
          <w:tcPr/>
          <w:p>
            <w:pPr>
              <w:pStyle w:val="Compact"/>
            </w:pPr>
            <w:r>
              <w:t xml:space="preserve">Mean rank gap</w:t>
            </w:r>
          </w:p>
        </w:tc>
        <w:tc>
          <w:tcPr/>
          <w:p>
            <w:pPr>
              <w:pStyle w:val="Compact"/>
            </w:pPr>
            <w:r>
              <w:t xml:space="preserve">Mean absolute rank difference over shared papers</w:t>
            </w:r>
          </w:p>
        </w:tc>
      </w:tr>
      <w:tr>
        <w:tc>
          <w:tcPr/>
          <w:p>
            <w:pPr>
              <w:pStyle w:val="Compact"/>
            </w:pPr>
            <w:r>
              <w:t xml:space="preserve">Independence-weighted consensus</w:t>
            </w:r>
          </w:p>
        </w:tc>
        <w:tc>
          <w:tcPr/>
          <w:p>
            <w:pPr>
              <w:pStyle w:val="Compact"/>
            </w:pPr>
            <w:r>
              <w:t xml:space="preserve">Winner by weighted vote share, discounted for shared components</w:t>
            </w:r>
          </w:p>
        </w:tc>
      </w:tr>
      <w:tr>
        <w:tc>
          <w:tcPr/>
          <w:p>
            <w:pPr>
              <w:pStyle w:val="Compact"/>
            </w:pPr>
            <w:r>
              <w:t xml:space="preserve">Win tally and battle history</w:t>
            </w:r>
          </w:p>
        </w:tc>
        <w:tc>
          <w:tcPr/>
          <w:p>
            <w:pPr>
              <w:pStyle w:val="Compact"/>
            </w:pPr>
            <w:r>
              <w:t xml:space="preserve">Wins per pipeline, champion, and streak</w:t>
            </w:r>
          </w:p>
        </w:tc>
      </w:tr>
    </w:tbl>
    <w:p>
      <w:pPr>
        <w:pStyle w:val="BodyText"/>
      </w:pPr>
      <w:r>
        <w:t xml:space="preserve">Local prototypes rarely integrate lexical, semantic, and metadata signals, and fewer still evaluate the configurations against one another. Re:Search builds that integration, and the Arena supplies the comparison. The study will report which configurations capture consensus best and how single-signal and hybrid pipelines agree in ranking, within the Re:Search corpus and protocol. The aim is a working prototype and an evidence-based account of its configurations.</w:t>
      </w:r>
    </w:p>
    <w:bookmarkEnd w:id="329"/>
    <w:bookmarkStart w:id="330" w:name="statement-of-the-problem"/>
    <w:p>
      <w:pPr>
        <w:pStyle w:val="Heading3"/>
      </w:pPr>
      <w:r>
        <w:t xml:space="preserve">Statement of the Problem</w:t>
      </w:r>
    </w:p>
    <w:p>
      <w:pPr>
        <w:pStyle w:val="FirstParagraph"/>
      </w:pPr>
      <w:r>
        <w:t xml:space="preserve">Undergraduate thesis writing at Bulacan State University depends on related literature, yet the retrieval tools students use, keyword search in Google Scholar and library catalogs, break under vocabulary mismatch and ignore structured metadata (Manning et al., 2008). Content-based recommenders can recover relevant literature, yet single-signal approaches fail in opposite directions: lexical matching misses paraphrase, and semantic matching drifts from the topical and temporal constraints a thesis imposes (Lops et al., 2011; Reimers &amp; Gurevych, 2019). Hybrid systems combine signals to offset these weaknesses (Burke, 2002), but comparative evidence on how configurations behave is scarce (Beel et al., 2016; Bai et al., 2019), and local prototypes integrating all three signals are rare. This study will therefore design and develop Re:Search, a hybrid content-based recommendation system for academic papers, and comparatively evaluate its six pipeline configurations, addressing the following specific questions:</w:t>
      </w:r>
    </w:p>
    <w:p>
      <w:pPr>
        <w:numPr>
          <w:ilvl w:val="0"/>
          <w:numId w:val="1001"/>
        </w:numPr>
      </w:pPr>
      <w:r>
        <w:t xml:space="preserve">How can a hybrid content-based recommendation system for academic papers be designed and developed, specifically through:</w:t>
      </w:r>
    </w:p>
    <w:p>
      <w:pPr>
        <w:numPr>
          <w:ilvl w:val="0"/>
          <w:numId w:val="1000"/>
        </w:numPr>
      </w:pPr>
      <w:r>
        <w:t xml:space="preserve">1.1 prepared-text normalization of title, abstract, and keywords,</w:t>
      </w:r>
    </w:p>
    <w:p>
      <w:pPr>
        <w:numPr>
          <w:ilvl w:val="0"/>
          <w:numId w:val="1000"/>
        </w:numPr>
      </w:pPr>
      <w:r>
        <w:t xml:space="preserve">1.2 TF-IDF and S-BERT representations of prepared text with metadata signals,</w:t>
      </w:r>
    </w:p>
    <w:p>
      <w:pPr>
        <w:numPr>
          <w:ilvl w:val="0"/>
          <w:numId w:val="1000"/>
        </w:numPr>
      </w:pPr>
      <w:r>
        <w:t xml:space="preserve">1.3 six fixed-weight pipeline configurations plus a user-customizable dial allocation, and</w:t>
      </w:r>
    </w:p>
    <w:p>
      <w:pPr>
        <w:numPr>
          <w:ilvl w:val="0"/>
          <w:numId w:val="1000"/>
        </w:numPr>
      </w:pPr>
      <w:r>
        <w:t xml:space="preserve">1.4 query-based and seed-paper-based search?</w:t>
      </w:r>
    </w:p>
    <w:p>
      <w:pPr>
        <w:numPr>
          <w:ilvl w:val="0"/>
          <w:numId w:val="1001"/>
        </w:numPr>
      </w:pPr>
      <w:r>
        <w:t xml:space="preserve">How can the six pipeline configurations be comparatively evaluated through the Arena, specifically through:</w:t>
      </w:r>
    </w:p>
    <w:p>
      <w:pPr>
        <w:numPr>
          <w:ilvl w:val="0"/>
          <w:numId w:val="1000"/>
        </w:numPr>
      </w:pPr>
      <w:r>
        <w:t xml:space="preserve">2.1 consensus ranking,</w:t>
      </w:r>
    </w:p>
    <w:p>
      <w:pPr>
        <w:numPr>
          <w:ilvl w:val="0"/>
          <w:numId w:val="1000"/>
        </w:numPr>
      </w:pPr>
      <w:r>
        <w:t xml:space="preserve">2.2 pairwise agreement in overlap at K and mean rank gap,</w:t>
      </w:r>
    </w:p>
    <w:p>
      <w:pPr>
        <w:numPr>
          <w:ilvl w:val="0"/>
          <w:numId w:val="1000"/>
        </w:numPr>
      </w:pPr>
      <w:r>
        <w:t xml:space="preserve">2.3 the independence-weighted consensus winner, and</w:t>
      </w:r>
    </w:p>
    <w:p>
      <w:pPr>
        <w:numPr>
          <w:ilvl w:val="0"/>
          <w:numId w:val="1000"/>
        </w:numPr>
      </w:pPr>
      <w:r>
        <w:t xml:space="preserve">2.4 win tally and battle history?</w:t>
      </w:r>
    </w:p>
    <w:p>
      <w:pPr>
        <w:numPr>
          <w:ilvl w:val="0"/>
          <w:numId w:val="1001"/>
        </w:numPr>
      </w:pPr>
      <w:r>
        <w:t xml:space="preserve">How do hybrid configurations compare with single-signal configurations in consensus capture and ranking agreement?</w:t>
      </w:r>
    </w:p>
    <w:p>
      <w:pPr>
        <w:pStyle w:val="FirstParagraph"/>
      </w:pPr>
      <w:r>
        <w:t xml:space="preserve">To answer the third question, this study will examine the following hypotheses descriptively:</w:t>
      </w:r>
    </w:p>
    <w:p>
      <w:pPr>
        <w:pStyle w:val="BodyText"/>
      </w:pPr>
      <w:r>
        <w:t xml:space="preserve">H₀: There is no difference in consensus capture between single-signal and hybrid pipeline configurations, as measured by the independence-weighted consensus winner.</w:t>
      </w:r>
    </w:p>
    <w:p>
      <w:pPr>
        <w:pStyle w:val="BodyText"/>
      </w:pPr>
      <w:r>
        <w:t xml:space="preserve">H₁: There is a difference in consensus capture between single-signal and hybrid pipeline configurations, as measured by the independence-weighted consensus winner.</w:t>
      </w:r>
    </w:p>
    <w:p>
      <w:pPr>
        <w:pStyle w:val="BodyText"/>
      </w:pPr>
      <w:r>
        <w:t xml:space="preserve">H₀: There is no difference in ranking agreement between single-signal and hybrid pipeline configurations, as measured by pairwise overlap at K and mean rank gap.</w:t>
      </w:r>
    </w:p>
    <w:p>
      <w:pPr>
        <w:pStyle w:val="BodyText"/>
      </w:pPr>
      <w:r>
        <w:t xml:space="preserve">H₁: There is a difference in ranking agreement between single-signal and hybrid pipeline configurations, as measured by pairwise overlap at K and mean rank gap.</w:t>
      </w:r>
    </w:p>
    <w:bookmarkEnd w:id="330"/>
    <w:bookmarkStart w:id="331" w:name="significance-of-the-study"/>
    <w:p>
      <w:pPr>
        <w:pStyle w:val="Heading3"/>
      </w:pPr>
      <w:r>
        <w:t xml:space="preserve">Significance of the Study</w:t>
      </w:r>
    </w:p>
    <w:p>
      <w:pPr>
        <w:pStyle w:val="FirstParagraph"/>
      </w:pPr>
      <w:r>
        <w:t xml:space="preserve">This study will benefit the following parties:</w:t>
      </w:r>
    </w:p>
    <w:p>
      <w:pPr>
        <w:pStyle w:val="BodyText"/>
      </w:pPr>
      <w:r>
        <w:rPr>
          <w:b/>
          <w:bCs/>
        </w:rPr>
        <w:t xml:space="preserve">Thesis students.</w:t>
      </w:r>
      <w:r>
        <w:t xml:space="preserve"> </w:t>
      </w:r>
      <w:r>
        <w:t xml:space="preserve">Re:Search gives undergraduate thesis writers a local repository of academic papers and a recommendation tool that surfaces related literature beyond exact keyword matches (Manning et al., 2008; Lops et al., 2011). Arena results will show which configurations to expect to agree with the broadest set of independent signals when searching.</w:t>
      </w:r>
    </w:p>
    <w:p>
      <w:pPr>
        <w:pStyle w:val="BodyText"/>
      </w:pPr>
      <w:r>
        <w:rPr>
          <w:b/>
          <w:bCs/>
        </w:rPr>
        <w:t xml:space="preserve">Faculty advisers and researchers.</w:t>
      </w:r>
      <w:r>
        <w:t xml:space="preserve"> </w:t>
      </w:r>
      <w:r>
        <w:t xml:space="preserve">Faculty advisers and graduate researchers gain a documented comparison of lexical, semantic, and metadata signals on a local corpus and an instrument for explaining why different searches surface different papers.</w:t>
      </w:r>
    </w:p>
    <w:p>
      <w:pPr>
        <w:pStyle w:val="BodyText"/>
      </w:pPr>
      <w:r>
        <w:rPr>
          <w:b/>
          <w:bCs/>
        </w:rPr>
        <w:t xml:space="preserve">University library and repository staff.</w:t>
      </w:r>
      <w:r>
        <w:t xml:space="preserve"> </w:t>
      </w:r>
      <w:r>
        <w:t xml:space="preserve">Library and repository staff will obtain a reference design for recommendation features inside the university’s own collections, with the pipeline, weighting scheme, and evaluation protocol documented for judgment before any deployment.</w:t>
      </w:r>
    </w:p>
    <w:p>
      <w:pPr>
        <w:pStyle w:val="BodyText"/>
      </w:pPr>
      <w:r>
        <w:rPr>
          <w:b/>
          <w:bCs/>
        </w:rPr>
        <w:t xml:space="preserve">System developers.</w:t>
      </w:r>
      <w:r>
        <w:t xml:space="preserve"> </w:t>
      </w:r>
      <w:r>
        <w:t xml:space="preserve">Developers receive an open account of how the six configurations were built: prepared-text normalization, TF-IDF and S-BERT representations, the metadata component, weighted combination, and the Arena’s metrics (Burke, 2002; Reimers &amp; Gurevych, 2019).</w:t>
      </w:r>
    </w:p>
    <w:p>
      <w:pPr>
        <w:pStyle w:val="BodyText"/>
      </w:pPr>
      <w:r>
        <w:rPr>
          <w:b/>
          <w:bCs/>
        </w:rPr>
        <w:t xml:space="preserve">Future researchers.</w:t>
      </w:r>
      <w:r>
        <w:t xml:space="preserve"> </w:t>
      </w:r>
      <w:r>
        <w:t xml:space="preserve">Future researchers will inherit the Arena as an evaluation instrument and the study’s bounded findings as a baseline, with delimitations that give later work a clear starting point for extending the corpus, adding models, or moving to human evaluation (Beel et al., 2016; Bai et al., 2019).</w:t>
      </w:r>
    </w:p>
    <w:bookmarkEnd w:id="331"/>
    <w:bookmarkStart w:id="332" w:name="scope-and-delimitation"/>
    <w:p>
      <w:pPr>
        <w:pStyle w:val="Heading3"/>
      </w:pPr>
      <w:r>
        <w:t xml:space="preserve">Scope and Delimitation</w:t>
      </w:r>
    </w:p>
    <w:p>
      <w:pPr>
        <w:pStyle w:val="FirstParagraph"/>
      </w:pPr>
      <w:r>
        <w:t xml:space="preserve">This development study sets the following parameters.</w:t>
      </w:r>
    </w:p>
    <w:p>
      <w:pPr>
        <w:pStyle w:val="BodyText"/>
      </w:pPr>
      <w:r>
        <w:rPr>
          <w:b/>
          <w:bCs/>
        </w:rPr>
        <w:t xml:space="preserve">Scope.</w:t>
      </w:r>
      <w:r>
        <w:t xml:space="preserve"> </w:t>
      </w:r>
      <w:r>
        <w:t xml:space="preserve">The study will cover the design, development, and comparative evaluation of Re:Search, a local academic paper repository and recommendation system. Functional scope: (a) repository import from PDF and BibTeX, including Google Scholar citations; (b) recommendation validation and prepared-text normalization; (c) TF-IDF, S-BERT, and metadata representations; (d) six fixed pipeline configurations plus a user-customizable dial allocation; (e) query-based and seed-paper-based search; and (f) the Arena evaluation instrument with consensus ranking, pairwise agreement, the independence-weighted consensus winner, and battle history. Evaluation will be system-internal: the Arena’s agreement metrics, not a human user study. The corpus will be the locally collected academic papers stored in the repository, which held 168 records at the time of this revision, 145 of them valid for recommendation. The locale is Bulacan State University, Malolos, Bulacan.</w:t>
      </w:r>
    </w:p>
    <w:p>
      <w:pPr>
        <w:pStyle w:val="BodyText"/>
      </w:pPr>
      <w:r>
        <w:rPr>
          <w:b/>
          <w:bCs/>
        </w:rPr>
        <w:t xml:space="preserve">Delimitations.</w:t>
      </w:r>
      <w:r>
        <w:t xml:space="preserve"> </w:t>
      </w:r>
      <w:r>
        <w:t xml:space="preserve">The study will exclude production deployment; collaborative filtering and user ratings; user-profile personalization; sentence-embedding models other than all-MiniLM-L6-v2; OCR for scanned PDFs, since extraction is heuristic and pdfplumber-based; and multi-node or server-class storage, since the database is SQLite on a single node. The findings will be bounded to the evaluated corpus and prototype. The study will not rank the surveyed algorithms in general.</w:t>
      </w:r>
    </w:p>
    <w:bookmarkEnd w:id="332"/>
    <w:bookmarkStart w:id="333" w:name="definition-of-terms"/>
    <w:p>
      <w:pPr>
        <w:pStyle w:val="Heading3"/>
      </w:pPr>
      <w:r>
        <w:t xml:space="preserve">Definition of Terms</w:t>
      </w:r>
    </w:p>
    <w:p>
      <w:pPr>
        <w:pStyle w:val="FirstParagraph"/>
      </w:pPr>
      <w:r>
        <w:t xml:space="preserve">The study defines key terms operationally as follows.</w:t>
      </w:r>
    </w:p>
    <w:p>
      <w:pPr>
        <w:pStyle w:val="BodyText"/>
      </w:pPr>
      <w:r>
        <w:rPr>
          <w:b/>
          <w:bCs/>
        </w:rPr>
        <w:t xml:space="preserve">Arena.</w:t>
      </w:r>
      <w:r>
        <w:t xml:space="preserve"> </w:t>
      </w:r>
      <w:r>
        <w:t xml:space="preserve">Refers to the Re:Search instrument in which all six pipelines run on the same query or seed paper and are compared on consensus ranking, pairwise agreement, and the independence-weighted consensus winner.</w:t>
      </w:r>
    </w:p>
    <w:p>
      <w:pPr>
        <w:pStyle w:val="BodyText"/>
      </w:pPr>
      <w:r>
        <w:rPr>
          <w:b/>
          <w:bCs/>
        </w:rPr>
        <w:t xml:space="preserve">Battle run.</w:t>
      </w:r>
      <w:r>
        <w:t xml:space="preserve"> </w:t>
      </w:r>
      <w:r>
        <w:t xml:space="preserve">Refers to one execution of the Arena with a winner, logged to the battle history the Arena page uses to tally wins, crown a champion, and show streaks.</w:t>
      </w:r>
    </w:p>
    <w:p>
      <w:pPr>
        <w:pStyle w:val="BodyText"/>
      </w:pPr>
      <w:r>
        <w:rPr>
          <w:b/>
          <w:bCs/>
        </w:rPr>
        <w:t xml:space="preserve">Consensus ranking.</w:t>
      </w:r>
      <w:r>
        <w:t xml:space="preserve"> </w:t>
      </w:r>
      <w:r>
        <w:t xml:space="preserve">Refers to the Arena’s paper ordering, sorted by how many pipelines ranked each paper, then by average rank.</w:t>
      </w:r>
    </w:p>
    <w:p>
      <w:pPr>
        <w:pStyle w:val="BodyText"/>
      </w:pPr>
      <w:r>
        <w:rPr>
          <w:b/>
          <w:bCs/>
        </w:rPr>
        <w:t xml:space="preserve">Content-based filtering.</w:t>
      </w:r>
      <w:r>
        <w:t xml:space="preserve"> </w:t>
      </w:r>
      <w:r>
        <w:t xml:space="preserve">Refers to a recommendation approach that scores items by similarity between the item’s features and a query or profile, using no other users’ ratings (Lops et al., 2011; Adomavicius &amp; Tuzhilin, 2005); in Re:Search, the features are prepared text and metadata.</w:t>
      </w:r>
    </w:p>
    <w:p>
      <w:pPr>
        <w:pStyle w:val="BodyText"/>
      </w:pPr>
      <w:r>
        <w:rPr>
          <w:b/>
          <w:bCs/>
        </w:rPr>
        <w:t xml:space="preserve">Cosine similarity.</w:t>
      </w:r>
      <w:r>
        <w:t xml:space="preserve"> </w:t>
      </w:r>
      <w:r>
        <w:t xml:space="preserve">Refers to the cosine of the angle between two vectors, used by Re:Search to compare TF-IDF vectors, S-BERT embeddings, and metadata text fields (Manning et al., 2008).</w:t>
      </w:r>
    </w:p>
    <w:p>
      <w:pPr>
        <w:pStyle w:val="BodyText"/>
      </w:pPr>
      <w:r>
        <w:rPr>
          <w:b/>
          <w:bCs/>
        </w:rPr>
        <w:t xml:space="preserve">Duplicate detection.</w:t>
      </w:r>
      <w:r>
        <w:t xml:space="preserve"> </w:t>
      </w:r>
      <w:r>
        <w:t xml:space="preserve">Refers to the identification of multiple repository records for the same paper, a pending data-quality concern in the current corpus.</w:t>
      </w:r>
    </w:p>
    <w:p>
      <w:pPr>
        <w:pStyle w:val="BodyText"/>
      </w:pPr>
      <w:r>
        <w:rPr>
          <w:b/>
          <w:bCs/>
        </w:rPr>
        <w:t xml:space="preserve">Hybrid pipeline.</w:t>
      </w:r>
      <w:r>
        <w:t xml:space="preserve"> </w:t>
      </w:r>
      <w:r>
        <w:t xml:space="preserve">Refers to a pipeline configuration that combines two or three component scores by weighted sum (Burke, 2002); Re:Search defines four among its six configurations.</w:t>
      </w:r>
    </w:p>
    <w:p>
      <w:pPr>
        <w:pStyle w:val="BodyText"/>
      </w:pPr>
      <w:r>
        <w:rPr>
          <w:b/>
          <w:bCs/>
        </w:rPr>
        <w:t xml:space="preserve">Independence-weighted consensus.</w:t>
      </w:r>
      <w:r>
        <w:t xml:space="preserve"> </w:t>
      </w:r>
      <w:r>
        <w:t xml:space="preserve">Refers to the Arena’s winner metric, in which one pipeline’s vote for a paper weighs 1 minus the Jaccard similarity of the two pipelines’ component sets; the winner captures the largest share of available weighted consensus, ties breaking by the lower average consensus rank.</w:t>
      </w:r>
    </w:p>
    <w:p>
      <w:pPr>
        <w:pStyle w:val="BodyText"/>
      </w:pPr>
      <w:r>
        <w:rPr>
          <w:b/>
          <w:bCs/>
        </w:rPr>
        <w:t xml:space="preserve">Mean rank gap.</w:t>
      </w:r>
      <w:r>
        <w:t xml:space="preserve"> </w:t>
      </w:r>
      <w:r>
        <w:t xml:space="preserve">Refers to the mean absolute difference between the ranks two pipelines give to the papers both ranked.</w:t>
      </w:r>
    </w:p>
    <w:p>
      <w:pPr>
        <w:pStyle w:val="BodyText"/>
      </w:pPr>
      <w:r>
        <w:rPr>
          <w:b/>
          <w:bCs/>
        </w:rPr>
        <w:t xml:space="preserve">Metadata component.</w:t>
      </w:r>
      <w:r>
        <w:t xml:space="preserve"> </w:t>
      </w:r>
      <w:r>
        <w:t xml:space="preserve">Refers to the Re:Search component that scores candidates on four signals, title, abstract, keywords, and publication year, each fixed at 25 percent; missing fields contribute zero, and publication-year similarity is 1 / (1 + |Δyear|). On seed-paper searches all four signals are active; on free-text queries the query text feeds the title, abstract, and keywords signals, while the year signal is absent.</w:t>
      </w:r>
    </w:p>
    <w:p>
      <w:pPr>
        <w:pStyle w:val="BodyText"/>
      </w:pPr>
      <w:r>
        <w:rPr>
          <w:b/>
          <w:bCs/>
        </w:rPr>
        <w:t xml:space="preserve">Min-max normalization.</w:t>
      </w:r>
      <w:r>
        <w:t xml:space="preserve"> </w:t>
      </w:r>
      <w:r>
        <w:t xml:space="preserve">Refers to the rescaling of component scores into the 0 to 1 range before weighted combination; metadata scores are already bounded and are not normalized.</w:t>
      </w:r>
    </w:p>
    <w:p>
      <w:pPr>
        <w:pStyle w:val="BodyText"/>
      </w:pPr>
      <w:r>
        <w:rPr>
          <w:b/>
          <w:bCs/>
        </w:rPr>
        <w:t xml:space="preserve">Pairwise agreement.</w:t>
      </w:r>
      <w:r>
        <w:t xml:space="preserve"> </w:t>
      </w:r>
      <w:r>
        <w:t xml:space="preserve">Refers to the comparison of two pipelines on the papers both ranked, reported as overlap at K and mean rank gap.</w:t>
      </w:r>
    </w:p>
    <w:p>
      <w:pPr>
        <w:pStyle w:val="BodyText"/>
      </w:pPr>
      <w:r>
        <w:rPr>
          <w:b/>
          <w:bCs/>
        </w:rPr>
        <w:t xml:space="preserve">PDF discovery.</w:t>
      </w:r>
      <w:r>
        <w:t xml:space="preserve"> </w:t>
      </w:r>
      <w:r>
        <w:t xml:space="preserve">Refers to the search for open-access candidate PDFs for a record without a stored file, drawing on sources such as Unpaywall, Crossref, Semantic Scholar, arXiv, and OpenAlex.</w:t>
      </w:r>
    </w:p>
    <w:p>
      <w:pPr>
        <w:pStyle w:val="BodyText"/>
      </w:pPr>
      <w:r>
        <w:rPr>
          <w:b/>
          <w:bCs/>
        </w:rPr>
        <w:t xml:space="preserve">Prepared text.</w:t>
      </w:r>
      <w:r>
        <w:t xml:space="preserve"> </w:t>
      </w:r>
      <w:r>
        <w:t xml:space="preserve">Refers to the normalized text built from Title + Abstract + Keywords that Re:Search feeds to TF-IDF and S-BERT.</w:t>
      </w:r>
    </w:p>
    <w:p>
      <w:pPr>
        <w:pStyle w:val="BodyText"/>
      </w:pPr>
      <w:r>
        <w:rPr>
          <w:b/>
          <w:bCs/>
        </w:rPr>
        <w:t xml:space="preserve">Recommendation index.</w:t>
      </w:r>
      <w:r>
        <w:t xml:space="preserve"> </w:t>
      </w:r>
      <w:r>
        <w:t xml:space="preserve">Refers to the repository’s stored TF-IDF vectors and S-BERT embeddings; the system tracks when repository changes make the index stale and rebuilds it.</w:t>
      </w:r>
    </w:p>
    <w:p>
      <w:pPr>
        <w:pStyle w:val="BodyText"/>
      </w:pPr>
      <w:r>
        <w:rPr>
          <w:b/>
          <w:bCs/>
        </w:rPr>
        <w:t xml:space="preserve">S-BERT.</w:t>
      </w:r>
      <w:r>
        <w:t xml:space="preserve"> </w:t>
      </w:r>
      <w:r>
        <w:t xml:space="preserve">Refers to Sentence-BERT, a Siamese BERT architecture that maps sentences and paragraphs to dense embeddings for similarity scoring (Reimers &amp; Gurevych, 2019); Re:Search uses the all-MiniLM-L6-v2 model.</w:t>
      </w:r>
    </w:p>
    <w:p>
      <w:pPr>
        <w:pStyle w:val="BodyText"/>
      </w:pPr>
      <w:r>
        <w:rPr>
          <w:b/>
          <w:bCs/>
        </w:rPr>
        <w:t xml:space="preserve">Seed paper.</w:t>
      </w:r>
      <w:r>
        <w:t xml:space="preserve"> </w:t>
      </w:r>
      <w:r>
        <w:t xml:space="preserve">Refers to a repository paper selected as the query; the system builds the query representation from its prepared text and excludes it from the results.</w:t>
      </w:r>
    </w:p>
    <w:p>
      <w:pPr>
        <w:pStyle w:val="BodyText"/>
      </w:pPr>
      <w:r>
        <w:rPr>
          <w:b/>
          <w:bCs/>
        </w:rPr>
        <w:t xml:space="preserve">TF-IDF.</w:t>
      </w:r>
      <w:r>
        <w:t xml:space="preserve"> </w:t>
      </w:r>
      <w:r>
        <w:t xml:space="preserve">Refers to term frequency-inverse document frequency, a weighting scheme assigning weight by a term’s frequency within a document and its rarity across the corpus (Salton &amp; Buckley, 1988; Manning et al., 2008). Re:Search computes TF-IDF vectors with scikit-learn.</w:t>
      </w:r>
    </w:p>
    <w:p>
      <w:pPr>
        <w:pStyle w:val="BodyText"/>
      </w:pPr>
      <w:r>
        <w:rPr>
          <w:b/>
          <w:bCs/>
        </w:rPr>
        <w:t xml:space="preserve">Top-K.</w:t>
      </w:r>
      <w:r>
        <w:t xml:space="preserve"> </w:t>
      </w:r>
      <w:r>
        <w:t xml:space="preserve">Refers to the K highest-ranked papers a pipeline returns; the Arena interface offers K values of 5, 10, and 15, while the backend accepts up to 25.</w:t>
      </w:r>
    </w:p>
    <w:bookmarkEnd w:id="333"/>
    <w:bookmarkStart w:id="334" w:name="ai-assisted-research-disclosure"/>
    <w:p>
      <w:pPr>
        <w:pStyle w:val="Heading3"/>
      </w:pPr>
      <w:r>
        <w:t xml:space="preserve">AI-Assisted Research Disclosure</w:t>
      </w:r>
    </w:p>
    <w:p>
      <w:pPr>
        <w:pStyle w:val="FirstParagraph"/>
      </w:pPr>
      <w:r>
        <w:t xml:space="preserve">AI-assisted tools supported literature retrieval and chapter drafting in the preparation of this document. All citations are restricted to the study’s verified source corpus; no sources were fabricated. System facts (brand, weights, Arena metrics, tie-break rules, and corpus counts) were read from the prototype’s codebase and its local database. The full provenance and verification trail is kept in the file audit-trail.md.</w:t>
      </w:r>
    </w:p>
    <w:bookmarkEnd w:id="334"/>
    <w:bookmarkEnd w:id="335"/>
    <w:bookmarkEnd w:id="336"/>
    <w:bookmarkStart w:id="359" w:name="chapter-ii"/>
    <w:p>
      <w:pPr>
        <w:pStyle w:val="Heading1"/>
      </w:pPr>
      <w:r>
        <w:t xml:space="preserve">CHAPTER II</w:t>
      </w:r>
    </w:p>
    <w:bookmarkStart w:id="358" w:name="review-of-related-literature-and-studies"/>
    <w:p>
      <w:pPr>
        <w:pStyle w:val="Heading2"/>
      </w:pPr>
      <w:r>
        <w:t xml:space="preserve">REVIEW OF RELATED LITERATURE AND STUDIES</w:t>
      </w:r>
    </w:p>
    <w:p>
      <w:pPr>
        <w:pStyle w:val="FirstParagraph"/>
      </w:pPr>
      <w:r>
        <w:t xml:space="preserve">The recommendation prototype developed in this study combines three retrieval signals, TF-IDF lexical matching, S-BERT semantic embeddings, and a metadata score over title, abstract, keywords, and publication year, into six fixed-weight pipeline configurations, then compares those configurations in an Arena that records consensus rankings, pairwise agreement, and an independence-weighted winner. Its design draws on four bodies of work: content-based filtering theory, the information retrieval models that give lexical and semantic matching their form, hybrid recommender design, and offline evaluation practice. This chapter reviews the theories, literature, and studies behind those bodies, offers a synthesis with a gap analysis restated as design requirements, and closes with the conceptual framework and hypotheses.</w:t>
      </w:r>
    </w:p>
    <w:bookmarkStart w:id="337" w:name="related-theories"/>
    <w:p>
      <w:pPr>
        <w:pStyle w:val="Heading3"/>
      </w:pPr>
      <w:r>
        <w:t xml:space="preserve">Related Theories</w:t>
      </w:r>
    </w:p>
    <w:p>
      <w:pPr>
        <w:pStyle w:val="FirstParagraph"/>
      </w:pPr>
      <w:r>
        <w:t xml:space="preserve">Content-based filtering theory supplies the study’s first principle. Lops et al. (2011) define a content-based recommender as a system that profiles items by their attributes and recommends items whose profiles match the profile of a query item or a learned user profile, with no reliance on the ratings of other users. For textual items the profile is a structured representation of the document’s content, and matching is a similarity computation over those representations (Lops et al., 2011). The prototype applies this principle directly: a paper record’s prepared text, built from title, abstract, and keywords, is the profile; the seed paper or text query is the comparison point; and cosine similarity produces the ranking.</w:t>
      </w:r>
    </w:p>
    <w:p>
      <w:pPr>
        <w:pStyle w:val="BodyText"/>
      </w:pPr>
      <w:r>
        <w:t xml:space="preserve">The vector space model and term weighting give the lexical signal its theoretical form. Salton and Buckley (1988) established that single-term indexing with appropriately weighted terms retrieves at least as well as more elaborate text representations and identified the composite term frequency by inverse document frequency (tf-idf) weight as the operative baseline. Manning et al. (2008) formalize the model in the standard textbook treatment: documents and queries become vectors in a term space, term weights combine frequency with collection-level rarity, and cosine similarity ranks documents by the angle between vectors. The prototype’s TF-IDF pipeline implements exactly this model, fitting its vectorizer on the local corpus.</w:t>
      </w:r>
    </w:p>
    <w:p>
      <w:pPr>
        <w:pStyle w:val="BodyText"/>
      </w:pPr>
      <w:r>
        <w:t xml:space="preserve">Distributed semantic representations extend the same vector-space idea from vocabulary to meaning. Devlin et al. (2019) showed that BERT, a deep bidirectional transformer pre-trained on masked language modeling, produces contextual representations that set new results across natural language tasks. BERT’s representations are token-level, however, and comparing whole documents with them is heavy. Reimers and Gurevych (2019) answer with Sentence-BERT (SBERT), a siamese arrangement of BERT networks that pools token representations into fixed-size sentence embeddings comparable with cosine similarity in seconds rather than hours. The prototype’s S-BERT pipeline embeds prepared text with the all-MiniLM-L6-v2 sentence-transformer and scores candidates by cosine similarity, the use case SBERT was designed for (Reimers &amp; Gurevych, 2019).</w:t>
      </w:r>
    </w:p>
    <w:p>
      <w:pPr>
        <w:pStyle w:val="BodyText"/>
      </w:pPr>
      <w:r>
        <w:t xml:space="preserve">Hybrid recommender theory explains why the study runs six configurations instead of one. Burke (2002) surveyed the hybrid space and distinguished seven hybridization designs: weighted, switching, mixed, feature combination, cascade, feature augmentation, and meta-level. The weighted design computes a recommendation as a linear combination of the scores of the component techniques and is the most direct way to fuse signals (Burke, 2002). Each of the prototype’s hybrid configurations is a weighted combination, TF-IDF plus S-BERT at equal weight, either lexical signal plus metadata at two-to-one weight, and the full three-signal mix at 40-40-20, so the study compares within Burke’s weighted family rather than across incomparable architectures.</w:t>
      </w:r>
    </w:p>
    <w:p>
      <w:pPr>
        <w:pStyle w:val="BodyText"/>
      </w:pPr>
      <w:r>
        <w:t xml:space="preserve">Metadata and attribute-based similarity form the third signal’s theoretical base. Because content-based profiles are attribute vectors (Lops et al., 2011), publication metadata can participate in the same matching logic: the prototype scores title, abstract, and keyword similarity by cosine over normalized text and publication-year similarity by temporal closeness, then averages the four equal-weight terms. Two general theories frame the surrounding field. Adomavicius and Tuzhilin (2005) survey recommender systems and categorize approaches by recommendation method, input data, and context, situating content-based and hybrid methods inside the field’s larger taxonomy. Ricci et al. (2011) frame recommendation as a decision-support function that prunes large information spaces on the user’s behalf. Both frame the present study’s contribution: a comparative evaluation of recommendation pipelines, not a new recommendation algorithm.</w:t>
      </w:r>
    </w:p>
    <w:bookmarkEnd w:id="337"/>
    <w:bookmarkStart w:id="342" w:name="related-literature"/>
    <w:p>
      <w:pPr>
        <w:pStyle w:val="Heading3"/>
      </w:pPr>
      <w:r>
        <w:t xml:space="preserve">Related Literature</w:t>
      </w:r>
    </w:p>
    <w:bookmarkStart w:id="338" w:name="Xb3566379aa769c317eb206ca633c5ae0a7fd665"/>
    <w:p>
      <w:pPr>
        <w:pStyle w:val="Heading4"/>
      </w:pPr>
      <w:r>
        <w:t xml:space="preserve">Recommender Systems and the Research-Paper Domain</w:t>
      </w:r>
    </w:p>
    <w:p>
      <w:pPr>
        <w:pStyle w:val="FirstParagraph"/>
      </w:pPr>
      <w:r>
        <w:t xml:space="preserve">The recommender field matured from a collaborative-filtering origin into a family of techniques whose design and evaluation questions the present study inherits (Adomavicius &amp; Tuzhilin, 2005; Ricci et al., 2011). Within that field, research-paper recommendation is a distinct domain with its own literature. Beel et al. (2016) reviewed more than 200 articles on research-paper recommenders and reported that content-based filtering dominated, applied by 55 percent of approaches, that TF-IDF was the most frequently used weighting scheme, and that collaborative and graph-based methods were minorities. Bai et al. (2019) surveyed the field with a similar conclusion: content-based, collaborative, graph-based, and hybrid methods coexist, and hybrid combinations recur as the natural response to any single method’s weaknesses. Together the two surveys establish the domain conventions the prototype follows: content-based signals as the core, hybrid fusion as the improvement path, and TF-IDF as the standard lexical baseline.</w:t>
      </w:r>
    </w:p>
    <w:bookmarkEnd w:id="338"/>
    <w:bookmarkStart w:id="339" w:name="the-vocabulary-mismatch-problem"/>
    <w:p>
      <w:pPr>
        <w:pStyle w:val="Heading4"/>
      </w:pPr>
      <w:r>
        <w:t xml:space="preserve">The Vocabulary-Mismatch Problem</w:t>
      </w:r>
    </w:p>
    <w:p>
      <w:pPr>
        <w:pStyle w:val="FirstParagraph"/>
      </w:pPr>
      <w:r>
        <w:t xml:space="preserve">Lexical retrieval fails when the query and the document say the same thing in different words. Manning et al. (2008) treat synonymy and polysemy as inherent limits of term-based matching in the vector space model, and Salton and Buckley (1988) already noted that weighting schemes cannot repair a vocabulary mismatch the representation never bridges. Dense embeddings exist to close exactly this gap: Reimers and Gurevych (2019) demonstrated that SBERT embeddings capture semantic similarity between sentences that share no words. The prototype’s two-representation design, TF-IDF for lexical overlap and S-BERT for semantic proximity, is the standard division of labor for this problem, and the Arena’s pairwise agreement statistics will quantify how far the two representations diverge on the same corpus.</w:t>
      </w:r>
    </w:p>
    <w:bookmarkEnd w:id="339"/>
    <w:bookmarkStart w:id="340" w:name="X25b3ac14fcf10ec23b9cd4d4722d83a1c202a44"/>
    <w:p>
      <w:pPr>
        <w:pStyle w:val="Heading4"/>
      </w:pPr>
      <w:r>
        <w:t xml:space="preserve">Fusion and Normalization of Heterogeneous Signals</w:t>
      </w:r>
    </w:p>
    <w:p>
      <w:pPr>
        <w:pStyle w:val="FirstParagraph"/>
      </w:pPr>
      <w:r>
        <w:t xml:space="preserve">Combining signals requires handling scales that do not share units: a TF-IDF cosine, a transformer cosine, and a metadata score each live on their own distribution. Burke (2002) observed that weighted hybrids are only as sound as the score normalization underneath them. Robertson and Zaragoza (2009), in the probabilistic relevance framework, show that BM25-family models combine term-frequency and document-length evidence under principled normalization, a reminder that combination formulas deserve the same care as the signals themselves. The prototype min-max normalizes TF-IDF and S-BERT scores into the 0-1 range before weighting, while metadata scores are already bounded and pass through unchanged; its metadata formula gives each of four signals a fixed quarter weight with missing fields contributing zero, so a paper cannot inflate its score by omitting fields. Empirical hybrid studies show the same attention to fusion. Polignano et al. (2021) combine graph embeddings with contextualized word representations in a hybrid architecture and report that the learned fusion improves over single-signal baselines. Bhagavatula et al. (2018), working in content-based citation recommendation, found that adding metadata improves standard ranking metrics but favors self-citations, a warning that metadata fusion can distort ranking goals even when it lifts scores. The Arena answers that warning with an explicit rule: agreement between two pipelines counts only in proportion to the independence of their component sets, so no pipeline can be confirmed by its own hybrids.</w:t>
      </w:r>
    </w:p>
    <w:bookmarkEnd w:id="340"/>
    <w:bookmarkStart w:id="341" w:name="offline-evaluation-conventions"/>
    <w:p>
      <w:pPr>
        <w:pStyle w:val="Heading4"/>
      </w:pPr>
      <w:r>
        <w:t xml:space="preserve">Offline Evaluation Conventions</w:t>
      </w:r>
    </w:p>
    <w:p>
      <w:pPr>
        <w:pStyle w:val="FirstParagraph"/>
      </w:pPr>
      <w:r>
        <w:t xml:space="preserve">Recommender evaluation has settled conventions that the study adopts. Herlocker et al. (2004) review the key decisions in evaluating recommender systems, the user tasks, datasets, and the choice among prediction-quality, classification, and ranking metrics, and report empirically that accuracy metrics collapse into a few strongly correlated classes. Shani and Gunawardana (2011) structure evaluation into offline experiments, online experiments, and user studies, noting that offline evaluation with ranking metrics is the standard first gate because it requires no users and no deployed system. For retrieval models specifically, Thakur et al. (2021) built BEIR, a heterogeneous zero-shot benchmark of 18 datasets, and found that BM25 remains a robust lexical baseline while dense models vary widely across domains. These conventions justify the study’s offline design: one corpus, one query set, fixed top-k, and agreement statistics computed from logged runs rather than from user panels.</w:t>
      </w:r>
    </w:p>
    <w:bookmarkEnd w:id="341"/>
    <w:bookmarkEnd w:id="342"/>
    <w:bookmarkStart w:id="350" w:name="related-studies"/>
    <w:p>
      <w:pPr>
        <w:pStyle w:val="Heading3"/>
      </w:pPr>
      <w:r>
        <w:t xml:space="preserve">Related Studies</w:t>
      </w:r>
    </w:p>
    <w:bookmarkStart w:id="343" w:name="local-studies"/>
    <w:p>
      <w:pPr>
        <w:pStyle w:val="Heading4"/>
      </w:pPr>
      <w:r>
        <w:t xml:space="preserve">Local Studies</w:t>
      </w:r>
    </w:p>
    <w:p>
      <w:pPr>
        <w:pStyle w:val="FirstParagraph"/>
      </w:pPr>
      <w:r>
        <w:t xml:space="preserve">The only Philippine study in the reviewed corpus that touches this domain is a documentation system rather than a recommender. De la Cruz and Diesta (2019) implemented the LCC Thesis Citation System, an in-house library database for Lipa City Colleges that houses the bibliographic records of student and faculty research collections. The system assessed which theses were most and least cited, helped academic departments identify feasible research topics and agendas, and was evaluated after implementation to decide which factors to add to or delete from the pilot design (De la Cruz &amp; Diesta, 2019). The study is the closest verified Philippine precedent for institutional thesis repositories, and its framing shows the gap the present study addresses: Lipa City Colleges organized records and counted citations, but no automated similarity ranking or recommendation appears in the published account. No Philippine study of a content-based or hybrid thesis recommendation system could be verified during the literature search for this chapter.</w:t>
      </w:r>
    </w:p>
    <w:bookmarkEnd w:id="343"/>
    <w:bookmarkStart w:id="349" w:name="international-studies"/>
    <w:p>
      <w:pPr>
        <w:pStyle w:val="Heading4"/>
      </w:pPr>
      <w:r>
        <w:t xml:space="preserve">International Studies</w:t>
      </w:r>
    </w:p>
    <w:bookmarkStart w:id="344" w:name="surveys-of-paper-recommendation-systems"/>
    <w:p>
      <w:pPr>
        <w:pStyle w:val="Heading5"/>
      </w:pPr>
      <w:r>
        <w:t xml:space="preserve">Surveys of Paper Recommendation Systems</w:t>
      </w:r>
    </w:p>
    <w:p>
      <w:pPr>
        <w:pStyle w:val="FirstParagraph"/>
      </w:pPr>
      <w:r>
        <w:t xml:space="preserve">Kreutz and Schenkel (2022) reviewed the recent literature between January 2019 and October 2021, analyzing 65 system papers along 20 dimensions covering data sources, methods, datasets, and evaluation measures. Their classification shows the field’s texture: most systems use titles, abstracts, or keywords, most recommend single papers in response to an input paper or query, embeddings and cosine similarity appear across many approaches, and hybrid and graph-based methods dominate recent work (Kreutz &amp; Schenkel, 2022). The survey also compiles the evaluation measures actually used, giving the study a checklist for its own reporting.</w:t>
      </w:r>
    </w:p>
    <w:bookmarkEnd w:id="344"/>
    <w:bookmarkStart w:id="345" w:name="Xac519b8109678f1fb9e20b46963d88d10c5288f"/>
    <w:p>
      <w:pPr>
        <w:pStyle w:val="Heading5"/>
      </w:pPr>
      <w:r>
        <w:t xml:space="preserve">Embedding-Based Paper Recommendation and Retrieval</w:t>
      </w:r>
    </w:p>
    <w:p>
      <w:pPr>
        <w:pStyle w:val="FirstParagraph"/>
      </w:pPr>
      <w:r>
        <w:t xml:space="preserve">SPECTER, introduced by Cohan et al. (2020), pre-trains a transformer on citation-informed triplets so that document embeddings reflect inter-document relatedness, and outperforms competing baselines on the seven tasks of the SciDocs benchmark, including recommendation. Ostendorff et al. (2022) refine the idea with SciNCL, which samples contrastive training pairs from citation-graph neighborhoods rather than discrete citation links, and report state-of-the-art results on SciDocs together with sample-efficient training. Kang et al. (2024) take a different route to the same goal: TaxoIndex organizes extracted paper concepts into a taxonomy-guided semantic index and uses it to enhance dense retrievers for academic paper search, with significant gains and improved interpretability. These three studies demonstrate that transformer-based document representations are the current state of the art for paper similarity, and they are the reason the prototype pairs a classical lexical pipeline with a transformer pipeline rather than relying on either alone.</w:t>
      </w:r>
    </w:p>
    <w:bookmarkEnd w:id="345"/>
    <w:bookmarkStart w:id="346" w:name="Xfb283a1b00f5ebdb078736afe0f01907f1eb18f"/>
    <w:p>
      <w:pPr>
        <w:pStyle w:val="Heading5"/>
      </w:pPr>
      <w:r>
        <w:t xml:space="preserve">Content-Based Citation Recommendation with Metadata</w:t>
      </w:r>
    </w:p>
    <w:p>
      <w:pPr>
        <w:pStyle w:val="FirstParagraph"/>
      </w:pPr>
      <w:r>
        <w:t xml:space="preserve">Bhagavatula et al. (2018) propose a content-based method that embeds a query document, retrieves nearest neighbors, and reranks candidates with a discriminative model, outperforming prior results on PubMed and DBLP by wide margins without using metadata at all. Their secondary finding bears directly on this study: adding metadata improved standard metrics but favored self-citations, which are less useful in a citation recommendation setting (Bhagavatula et al., 2018). The present study’s metadata design internalizes that caution: metadata enters only through a fixed equal-weight formula, its share of the final score is fixed at one third or one fifth, and the Arena’s independence weighting ensures that a pipeline cannot be confirmed by its own metadata-enriched hybrids.</w:t>
      </w:r>
    </w:p>
    <w:bookmarkEnd w:id="346"/>
    <w:bookmarkStart w:id="347" w:name="X0ba097e9fcbb1fdb50aaeed53ab7fc3be78336b"/>
    <w:p>
      <w:pPr>
        <w:pStyle w:val="Heading5"/>
      </w:pPr>
      <w:r>
        <w:t xml:space="preserve">Hybrid Fusion of Heterogeneous Representations</w:t>
      </w:r>
    </w:p>
    <w:p>
      <w:pPr>
        <w:pStyle w:val="FirstParagraph"/>
      </w:pPr>
      <w:r>
        <w:t xml:space="preserve">Polignano et al. (2021) present the most direct empirical precedent for the study’s fusion question. Their hybrid framework generates graph embeddings and contextualized word representations separately, then learns a fused representation that improves over either signal alone (Polignano et al., 2021). The present study differs from theirs in design and purpose: the deployed pipelines use fixed, transparent fusion weights rather than a learned model, with a deterministic offline learner provided as a research instrument, and the comparison covers a full family of two-signal and three-signal configurations, not a single fused model against its components.</w:t>
      </w:r>
    </w:p>
    <w:bookmarkEnd w:id="347"/>
    <w:bookmarkStart w:id="348" w:name="offline-evaluation-of-recommenders"/>
    <w:p>
      <w:pPr>
        <w:pStyle w:val="Heading5"/>
      </w:pPr>
      <w:r>
        <w:t xml:space="preserve">Offline Evaluation of Recommenders</w:t>
      </w:r>
    </w:p>
    <w:p>
      <w:pPr>
        <w:pStyle w:val="FirstParagraph"/>
      </w:pPr>
      <w:r>
        <w:t xml:space="preserve">Herlocker et al. (2004) provide the classic treatment of evaluation design, and Shani and Gunawardana (2011) the canonical chapter on offline evaluation, both of which the study’s protocol follows: offline logs, ranking-level analysis, and agreement measures rather than single accuracy numbers. Thakur et al. (2021) add the zero-shot perspective, showing that lexical baselines remain competitive and that benchmark heterogeneity matters; the Arena applies that lesson by fixing the corpus, query, and depth across all six pipelines so that observed differences are attributable to the pipelines themselves.</w:t>
      </w:r>
    </w:p>
    <w:bookmarkEnd w:id="348"/>
    <w:bookmarkEnd w:id="349"/>
    <w:bookmarkEnd w:id="350"/>
    <w:bookmarkStart w:id="354" w:name="Xff31a4cfa949178d0902ab519cddd031d2f0bf3"/>
    <w:p>
      <w:pPr>
        <w:pStyle w:val="Heading3"/>
      </w:pPr>
      <w:r>
        <w:t xml:space="preserve">Synthesis of the Review of Literature and Studies</w:t>
      </w:r>
    </w:p>
    <w:bookmarkStart w:id="351" w:name="convergences"/>
    <w:p>
      <w:pPr>
        <w:pStyle w:val="Heading4"/>
      </w:pPr>
      <w:r>
        <w:t xml:space="preserve">Convergences</w:t>
      </w:r>
    </w:p>
    <w:p>
      <w:pPr>
        <w:pStyle w:val="FirstParagraph"/>
      </w:pPr>
      <w:r>
        <w:t xml:space="preserve">Four convergences shape the study’s design. First, content-based signals dominate paper recommendation: the two major surveys and the recent review all report content-based filtering as the field’s core approach, with TF-IDF as its most common weighting scheme (Bai et al., 2019; Beel et al., 2016; Kreutz &amp; Schenkel, 2022). Second, hybrid fusion is the accepted route to robustness: Burke’s (2002) taxonomy treats combination as a design space, and empirical work reports fusion gains (Polignano et al., 2021). Third, transformer-based document embeddings are the current state of the art for semantic paper matching (Cohan et al., 2020; Kang et al., 2024; Ostendorff et al., 2022). Fourth, evaluation is overwhelmingly offline and ranking-based, with agreement and ranking metrics preferred over raw prediction error (Herlocker et al., 2004; Shani &amp; Gunawardana, 2011; Thakur et al., 2021).</w:t>
      </w:r>
    </w:p>
    <w:bookmarkEnd w:id="351"/>
    <w:bookmarkStart w:id="352" w:name="contradictions-and-limitations"/>
    <w:p>
      <w:pPr>
        <w:pStyle w:val="Heading4"/>
      </w:pPr>
      <w:r>
        <w:t xml:space="preserve">Contradictions and Limitations</w:t>
      </w:r>
    </w:p>
    <w:p>
      <w:pPr>
        <w:pStyle w:val="FirstParagraph"/>
      </w:pPr>
      <w:r>
        <w:t xml:space="preserve">The literature disagrees on which representation is best. Beel et al. (2016) report that no approach is consistently superior and that results vary by corpus; Thakur et al. (2021) find BM25 robust and dense models uneven in zero-shot settings; and Cohan et al. (2020) and Ostendorff et al. (2022) show citation-informed transformers leading on SciDocs. Each result is measured on a different benchmark, so the contradictions may be an artifact of incompatible evaluations. That is the first limitation: there is no shared benchmark across studies, and even within a study, hybrid gains are usually established against baselines borrowed from other works rather than against a controlled family of configurations on one corpus. A second limitation is that metadata fusion is rarely examined as a controlled variable: Bhagavatula et al. (2018) report its distortionary effect, and Kreutz and Schenkel (2022) list metadata use as a dimension but not a systematically varied one. A third limitation is local: the verified Philippine corpus contains no thesis or paper recommender at all, only bibliographic and citation-counting systems (De la Cruz &amp; Diesta, 2019).</w:t>
      </w:r>
    </w:p>
    <w:bookmarkEnd w:id="352"/>
    <w:bookmarkStart w:id="353" w:name="gap-analysis"/>
    <w:p>
      <w:pPr>
        <w:pStyle w:val="Heading4"/>
      </w:pPr>
      <w:r>
        <w:t xml:space="preserve">Gap Analysis</w:t>
      </w:r>
    </w:p>
    <w:p>
      <w:pPr>
        <w:numPr>
          <w:ilvl w:val="0"/>
          <w:numId w:val="1002"/>
        </w:numPr>
      </w:pPr>
      <w:r>
        <w:rPr>
          <w:b/>
          <w:bCs/>
        </w:rPr>
        <w:t xml:space="preserve">Same-family comparison gap.</w:t>
      </w:r>
      <w:r>
        <w:t xml:space="preserve"> </w:t>
      </w:r>
      <w:r>
        <w:t xml:space="preserve">No verified study compares a family of hybrid configurations that differ only in fusion weights on one corpus, one query set, and one top-k. Studies compare distinct architectures across benchmarks (Beel et al., 2016; Polignano et al., 2021).</w:t>
      </w:r>
    </w:p>
    <w:p>
      <w:pPr>
        <w:numPr>
          <w:ilvl w:val="0"/>
          <w:numId w:val="1002"/>
        </w:numPr>
      </w:pPr>
      <w:r>
        <w:rPr>
          <w:b/>
          <w:bCs/>
        </w:rPr>
        <w:t xml:space="preserve">Weighted metadata fusion gap.</w:t>
      </w:r>
      <w:r>
        <w:t xml:space="preserve"> </w:t>
      </w:r>
      <w:r>
        <w:t xml:space="preserve">Metadata is added or withheld (Bhagavatula et al., 2018) but not fused under fixed, transparent weights and compared against its unweighted counterparts.</w:t>
      </w:r>
    </w:p>
    <w:p>
      <w:pPr>
        <w:numPr>
          <w:ilvl w:val="0"/>
          <w:numId w:val="1002"/>
        </w:numPr>
      </w:pPr>
      <w:r>
        <w:rPr>
          <w:b/>
          <w:bCs/>
        </w:rPr>
        <w:t xml:space="preserve">Agreement-quantification gap.</w:t>
      </w:r>
      <w:r>
        <w:t xml:space="preserve"> </w:t>
      </w:r>
      <w:r>
        <w:t xml:space="preserve">The lexical and semantic mismatch is described theoretically (Manning et al., 2008; Reimers &amp; Gurevych, 2019) but rarely measured as pairwise agreement between pipelines on the same corpus.</w:t>
      </w:r>
    </w:p>
    <w:p>
      <w:pPr>
        <w:numPr>
          <w:ilvl w:val="0"/>
          <w:numId w:val="1002"/>
        </w:numPr>
      </w:pPr>
      <w:r>
        <w:rPr>
          <w:b/>
          <w:bCs/>
        </w:rPr>
        <w:t xml:space="preserve">Anti-confounding gap.</w:t>
      </w:r>
      <w:r>
        <w:t xml:space="preserve"> </w:t>
      </w:r>
      <w:r>
        <w:t xml:space="preserve">No verified study prevents a hybrid from being validated by its own components, a design flaw the prototype’s independence-weighted consensus rule addresses explicitly.</w:t>
      </w:r>
    </w:p>
    <w:p>
      <w:pPr>
        <w:numPr>
          <w:ilvl w:val="0"/>
          <w:numId w:val="1002"/>
        </w:numPr>
      </w:pPr>
      <w:r>
        <w:rPr>
          <w:b/>
          <w:bCs/>
        </w:rPr>
        <w:t xml:space="preserve">Local-evidence gap.</w:t>
      </w:r>
      <w:r>
        <w:t xml:space="preserve"> </w:t>
      </w:r>
      <w:r>
        <w:t xml:space="preserve">No verified Philippine study evaluates a thesis or paper recommender (De la Cruz &amp; Diesta, 2019).</w:t>
      </w:r>
    </w:p>
    <w:p>
      <w:pPr>
        <w:pStyle w:val="FirstParagraph"/>
      </w:pPr>
      <w:r>
        <w:t xml:space="preserve">Each gap maps to a design decision in the prototype:</w:t>
      </w:r>
    </w:p>
    <w:p>
      <w:pPr>
        <w:pStyle w:val="Compact"/>
        <w:numPr>
          <w:ilvl w:val="0"/>
          <w:numId w:val="1003"/>
        </w:numPr>
      </w:pPr>
      <w:r>
        <w:rPr>
          <w:i/>
          <w:iCs/>
        </w:rPr>
        <w:t xml:space="preserve">Same-family comparison gap</w:t>
      </w:r>
      <w:r>
        <w:t xml:space="preserve"> </w:t>
      </w:r>
      <w:r>
        <w:t xml:space="preserve">→ the Arena runs all six configurations against the same query with the same top-k and logs every run.</w:t>
      </w:r>
    </w:p>
    <w:p>
      <w:pPr>
        <w:pStyle w:val="Compact"/>
        <w:numPr>
          <w:ilvl w:val="0"/>
          <w:numId w:val="1003"/>
        </w:numPr>
      </w:pPr>
      <w:r>
        <w:rPr>
          <w:i/>
          <w:iCs/>
        </w:rPr>
        <w:t xml:space="preserve">Weighted metadata fusion gap</w:t>
      </w:r>
      <w:r>
        <w:t xml:space="preserve"> </w:t>
      </w:r>
      <w:r>
        <w:t xml:space="preserve">→ a fixed equal-weight metadata formula (0.25 × title, abstract, keywords, year; missing fields score zero) enters hybrids at fixed one-third or one-fifth shares.</w:t>
      </w:r>
    </w:p>
    <w:p>
      <w:pPr>
        <w:pStyle w:val="Compact"/>
        <w:numPr>
          <w:ilvl w:val="0"/>
          <w:numId w:val="1003"/>
        </w:numPr>
      </w:pPr>
      <w:r>
        <w:rPr>
          <w:i/>
          <w:iCs/>
        </w:rPr>
        <w:t xml:space="preserve">Agreement-quantification gap</w:t>
      </w:r>
      <w:r>
        <w:t xml:space="preserve"> </w:t>
      </w:r>
      <w:r>
        <w:t xml:space="preserve">→ the Arena reports consensus votes, average rank, pairwise overlap, and mean rank gap for every pair of pipelines.</w:t>
      </w:r>
    </w:p>
    <w:p>
      <w:pPr>
        <w:pStyle w:val="Compact"/>
        <w:numPr>
          <w:ilvl w:val="0"/>
          <w:numId w:val="1003"/>
        </w:numPr>
      </w:pPr>
      <w:r>
        <w:rPr>
          <w:i/>
          <w:iCs/>
        </w:rPr>
        <w:t xml:space="preserve">Anti-confounding gap</w:t>
      </w:r>
      <w:r>
        <w:t xml:space="preserve"> </w:t>
      </w:r>
      <w:r>
        <w:t xml:space="preserve">→ the winner metric weights each vote by one minus the Jaccard overlap of the two pipelines’ component sets, so a pipeline cannot be confirmed by its own hybrids.</w:t>
      </w:r>
    </w:p>
    <w:p>
      <w:pPr>
        <w:pStyle w:val="Compact"/>
        <w:numPr>
          <w:ilvl w:val="0"/>
          <w:numId w:val="1003"/>
        </w:numPr>
      </w:pPr>
      <w:r>
        <w:rPr>
          <w:i/>
          <w:iCs/>
        </w:rPr>
        <w:t xml:space="preserve">Local-evidence gap</w:t>
      </w:r>
      <w:r>
        <w:t xml:space="preserve"> </w:t>
      </w:r>
      <w:r>
        <w:t xml:space="preserve">→ the study will produce the first verified comparative evidence for content-based thesis recommendation in a Philippine university setting.</w:t>
      </w:r>
    </w:p>
    <w:bookmarkEnd w:id="353"/>
    <w:bookmarkEnd w:id="354"/>
    <w:bookmarkStart w:id="355" w:name="conceptual-framework"/>
    <w:p>
      <w:pPr>
        <w:pStyle w:val="Heading3"/>
      </w:pPr>
      <w:r>
        <w:t xml:space="preserve">Conceptual Framework</w:t>
      </w:r>
    </w:p>
    <w:p>
      <w:pPr>
        <w:pStyle w:val="FirstParagraph"/>
      </w:pPr>
      <w:r>
        <w:t xml:space="preserve">The framework is an input-process-output model for the study. Inputs: (a) a paper corpus imported from PDFs and BibTeX records and validated for recommendation completeness (title, abstract, keywords, publication year); (b) a query text or seed paper; (c) six weight configurations over TF-IDF, S-BERT, and metadata signals (Burke, 2002). Process: prepared text will be normalized from title, abstract, and keywords → TF-IDF vectors and S-BERT embeddings will be generated and stored → the metadata score will be computed with the fixed equal-weight formula → the weighted score combination will rank candidates per configuration → the Arena will compare configurations by consensus ranking, pairwise agreement, and independence-weighted winner → battle runs will be logged. Outputs: the framework will yield ranked recommendation lists per pipeline, consensus and pairwise statistics, an independence-weighted winner with a win tally across runs, and design recommendations for hybrid content-based paper recommenders.</w:t>
      </w:r>
    </w:p>
    <w:p>
      <w:pPr>
        <w:pStyle w:val="SourceCode"/>
      </w:pPr>
      <w:r>
        <w:rPr>
          <w:rStyle w:val="VerbatimChar"/>
        </w:rPr>
        <w:t xml:space="preserve">INPUTS -----------------&gt; PROCESS ----------------------&gt; OUTPUTS</w:t>
      </w:r>
      <w:r>
        <w:br/>
      </w:r>
      <w:r>
        <w:rPr>
          <w:rStyle w:val="VerbatimChar"/>
        </w:rPr>
        <w:t xml:space="preserve">Paper corpus             Prepared text will be           will yield ranked</w:t>
      </w:r>
      <w:r>
        <w:br/>
      </w:r>
      <w:r>
        <w:rPr>
          <w:rStyle w:val="VerbatimChar"/>
        </w:rPr>
        <w:t xml:space="preserve">imported from            normalized; TF-IDF              recommendations per</w:t>
      </w:r>
      <w:r>
        <w:br/>
      </w:r>
      <w:r>
        <w:rPr>
          <w:rStyle w:val="VerbatimChar"/>
        </w:rPr>
        <w:t xml:space="preserve">PDFs and BibTeX,         vectors and S-BERT              pipeline; consensus</w:t>
      </w:r>
      <w:r>
        <w:br/>
      </w:r>
      <w:r>
        <w:rPr>
          <w:rStyle w:val="VerbatimChar"/>
        </w:rPr>
        <w:t xml:space="preserve">validated for            embeddings will be              and pairwise</w:t>
      </w:r>
      <w:r>
        <w:br/>
      </w:r>
      <w:r>
        <w:rPr>
          <w:rStyle w:val="VerbatimChar"/>
        </w:rPr>
        <w:t xml:space="preserve">recommendation;          generated; metadata             statistics; an</w:t>
      </w:r>
      <w:r>
        <w:br/>
      </w:r>
      <w:r>
        <w:rPr>
          <w:rStyle w:val="VerbatimChar"/>
        </w:rPr>
        <w:t xml:space="preserve">query or seed            score will be computed;         independence-weighted</w:t>
      </w:r>
      <w:r>
        <w:br/>
      </w:r>
      <w:r>
        <w:rPr>
          <w:rStyle w:val="VerbatimChar"/>
        </w:rPr>
        <w:t xml:space="preserve">paper; six weight        weighted scores will            winner and win tally;</w:t>
      </w:r>
      <w:r>
        <w:br/>
      </w:r>
      <w:r>
        <w:rPr>
          <w:rStyle w:val="VerbatimChar"/>
        </w:rPr>
        <w:t xml:space="preserve">configurations           rank candidates; Arena          design recommendations</w:t>
      </w:r>
      <w:r>
        <w:br/>
      </w:r>
      <w:r>
        <w:rPr>
          <w:rStyle w:val="VerbatimChar"/>
        </w:rPr>
        <w:t xml:space="preserve">                         will compare the six            and limitations</w:t>
      </w:r>
      <w:r>
        <w:br/>
      </w:r>
      <w:r>
        <w:rPr>
          <w:rStyle w:val="VerbatimChar"/>
        </w:rPr>
        <w:t xml:space="preserve">                         configurations</w:t>
      </w:r>
    </w:p>
    <w:bookmarkEnd w:id="355"/>
    <w:bookmarkStart w:id="356" w:name="hypotheses-of-the-study"/>
    <w:p>
      <w:pPr>
        <w:pStyle w:val="Heading3"/>
      </w:pPr>
      <w:r>
        <w:t xml:space="preserve">Hypotheses of the Study</w:t>
      </w:r>
    </w:p>
    <w:p>
      <w:pPr>
        <w:pStyle w:val="FirstParagraph"/>
      </w:pPr>
      <w:r>
        <w:t xml:space="preserve">This study will examine the following hypotheses descriptively:</w:t>
      </w:r>
    </w:p>
    <w:p>
      <w:pPr>
        <w:pStyle w:val="BodyText"/>
      </w:pPr>
      <w:r>
        <w:t xml:space="preserve">H₀: There is no difference in consensus capture between single-signal and hybrid pipeline configurations, as measured by the independence-weighted consensus winner.</w:t>
      </w:r>
    </w:p>
    <w:p>
      <w:pPr>
        <w:pStyle w:val="BodyText"/>
      </w:pPr>
      <w:r>
        <w:t xml:space="preserve">H₁: There is a difference in consensus capture between single-signal and hybrid pipeline configurations, as measured by the independence-weighted consensus winner.</w:t>
      </w:r>
    </w:p>
    <w:p>
      <w:pPr>
        <w:pStyle w:val="BodyText"/>
      </w:pPr>
      <w:r>
        <w:t xml:space="preserve">H₀: There is no difference in ranking agreement between single-signal and hybrid pipeline configurations, as measured by pairwise overlap at K and mean rank gap.</w:t>
      </w:r>
    </w:p>
    <w:p>
      <w:pPr>
        <w:pStyle w:val="BodyText"/>
      </w:pPr>
      <w:r>
        <w:t xml:space="preserve">H₁: There is a difference in ranking agreement between single-signal and hybrid pipeline configurations, as measured by pairwise overlap at K and mean rank gap.</w:t>
      </w:r>
    </w:p>
    <w:bookmarkEnd w:id="356"/>
    <w:bookmarkStart w:id="357" w:name="ai-assisted-research-disclosure-1"/>
    <w:p>
      <w:pPr>
        <w:pStyle w:val="Heading3"/>
      </w:pPr>
      <w:r>
        <w:t xml:space="preserve">AI-Assisted Research Disclosure</w:t>
      </w:r>
    </w:p>
    <w:p>
      <w:pPr>
        <w:pStyle w:val="FirstParagraph"/>
      </w:pPr>
      <w:r>
        <w:t xml:space="preserve">This chapter was prepared with AI assistance (large language model drafting under human direction). Source identification, bibliographic verification, thematic organization, synthesis, and gap analysis were AI-assisted. Every DOI, page range, and author list was confirmed against Crossref, the ACL Anthology, ACM DL, Springer, PMC, arXiv, or the journal’s own page; all 21 in-text citations are restricted to the verified source list in references.bib, with zero orphans in either direction. No authors, years, volumes, DOIs, pages, or quantitative values were fabricated, and retrieval statistics (e.g., Beel et al.’s 55% content-based share, BEIR’s 18 datasets, SciDocs’ seven tasks) are reproduced only as reported in the cited sources. The chapter should be verified against the original PDFs before submission. The full provenance and verification trail is kept in the file audit-trail.md.</w:t>
      </w:r>
    </w:p>
    <w:bookmarkEnd w:id="357"/>
    <w:bookmarkEnd w:id="358"/>
    <w:bookmarkEnd w:id="359"/>
    <w:bookmarkStart w:id="379" w:name="chapter-iii"/>
    <w:p>
      <w:pPr>
        <w:pStyle w:val="Heading1"/>
      </w:pPr>
      <w:r>
        <w:t xml:space="preserve">CHAPTER III</w:t>
      </w:r>
    </w:p>
    <w:bookmarkStart w:id="376" w:name="research-methodology"/>
    <w:p>
      <w:pPr>
        <w:pStyle w:val="Heading2"/>
      </w:pPr>
      <w:r>
        <w:t xml:space="preserve">RESEARCH METHODOLOGY</w:t>
      </w:r>
    </w:p>
    <w:p>
      <w:pPr>
        <w:pStyle w:val="FirstParagraph"/>
      </w:pPr>
      <w:r>
        <w:t xml:space="preserve">This chapter presents the methodology used to develop and evaluate Re:Search, the hybrid content-based recommendation prototype built in this study. It covers the research design and locale, the system framework and features, the development process, the evaluation protocol (the Arena), the data collection and analysis plan, the ethical considerations, and the limitations of the method. Together these sections show how the methodology answers Chapter I’s specific problems: how the prototype will be designed and built, how its six pipeline configurations will be compared, and how that comparison will be conducted and interpreted.</w:t>
      </w:r>
    </w:p>
    <w:bookmarkStart w:id="360" w:name="research-design"/>
    <w:p>
      <w:pPr>
        <w:pStyle w:val="Heading3"/>
      </w:pPr>
      <w:r>
        <w:t xml:space="preserve">Research Design</w:t>
      </w:r>
    </w:p>
    <w:p>
      <w:pPr>
        <w:pStyle w:val="FirstParagraph"/>
      </w:pPr>
      <w:r>
        <w:t xml:space="preserve">This study will use a descriptive-developmental research design. It is</w:t>
      </w:r>
      <w:r>
        <w:t xml:space="preserve"> </w:t>
      </w:r>
      <w:r>
        <w:rPr>
          <w:i/>
          <w:iCs/>
        </w:rPr>
        <w:t xml:space="preserve">developmental</w:t>
      </w:r>
      <w:r>
        <w:t xml:space="preserve"> </w:t>
      </w:r>
      <w:r>
        <w:t xml:space="preserve">because the objective will be to design and build Re:Search, a local academic repository and recommendation prototype, through iterative prototyping in a planning, requirements, design, development, and testing cycle, each pass checked and refined. It is</w:t>
      </w:r>
      <w:r>
        <w:t xml:space="preserve"> </w:t>
      </w:r>
      <w:r>
        <w:rPr>
          <w:i/>
          <w:iCs/>
        </w:rPr>
        <w:t xml:space="preserve">descriptive</w:t>
      </w:r>
      <w:r>
        <w:t xml:space="preserve"> </w:t>
      </w:r>
      <w:r>
        <w:t xml:space="preserve">and comparative because the study will report how the six fixed pipeline configurations rank papers on the same queries and seed papers, without manipulating any variable beyond the weight configurations themselves.</w:t>
      </w:r>
    </w:p>
    <w:p>
      <w:pPr>
        <w:pStyle w:val="BodyText"/>
      </w:pPr>
      <w:r>
        <w:t xml:space="preserve">The developmental strand answers Chapter I’s first two problems: the design and construction of the system, and the design of the three recommendation components (TF-IDF, S-BERT, and metadata) together with their six hybrid configurations. The comparative strand answers the remaining problems: the agreement structure among the pipelines and the determination of a winner across repeated Arena runs. The study grounds this arrangement in the standard offline evaluation practice for content-based and hybrid recommenders, in which candidate generation, scoring, ranking, and agreement analysis run over a fixed corpus without a live user study (Adomavicius &amp; Tuzhilin, 2005; Burke, 2002). Content-based recommenders profile items from their textual content and match them against the user’s interests (Lops et al., 2011); the prototype operationalizes that idea by profiling papers from their titles, abstracts, and keywords.</w:t>
      </w:r>
    </w:p>
    <w:bookmarkEnd w:id="360"/>
    <w:bookmarkStart w:id="361" w:name="research-locale"/>
    <w:p>
      <w:pPr>
        <w:pStyle w:val="Heading3"/>
      </w:pPr>
      <w:r>
        <w:t xml:space="preserve">Research Locale</w:t>
      </w:r>
    </w:p>
    <w:p>
      <w:pPr>
        <w:pStyle w:val="FirstParagraph"/>
      </w:pPr>
      <w:r>
        <w:t xml:space="preserve">The study is conducted at Bulacan State University, Malolos, Bulacan, in Central Luzon, Philippines. The prototype is developed by Bachelor of Science in Mathematics and Computer Science (BSMCS) students, and the interface brands itself</w:t>
      </w:r>
      <w:r>
        <w:t xml:space="preserve"> </w:t>
      </w:r>
      <w:r>
        <w:t xml:space="preserve">“Re:Search · BulSU BSMCS.”</w:t>
      </w:r>
      <w:r>
        <w:t xml:space="preserve"> </w:t>
      </w:r>
      <w:r>
        <w:t xml:space="preserve">The corpus is drawn from publicly available academic literature collected by the researchers, and the evaluation runs locally on a single machine: the FastAPI backend, the SQLite database, and the React frontend all run on the researchers’ own computer, and no system was installed in any university office. The researchers document the locale from the prototype’s identifiers and from the development records, not from field observation.</w:t>
      </w:r>
    </w:p>
    <w:bookmarkEnd w:id="361"/>
    <w:bookmarkStart w:id="362" w:name="system-framework-and-features"/>
    <w:p>
      <w:pPr>
        <w:pStyle w:val="Heading3"/>
      </w:pPr>
      <w:r>
        <w:t xml:space="preserve">System Framework and Features</w:t>
      </w:r>
    </w:p>
    <w:p>
      <w:pPr>
        <w:pStyle w:val="FirstParagraph"/>
      </w:pPr>
      <w:r>
        <w:t xml:space="preserve">Re:Search is a two-layer application: a FastAPI backend that owns the repository, the recommendation engine, and the Arena, and a React frontend that renders the repository, search, and evaluation pages. Table 1 summarizes the modules that make up the system and the purpose of each.</w:t>
      </w:r>
    </w:p>
    <w:p>
      <w:pPr>
        <w:pStyle w:val="BodyText"/>
      </w:pPr>
      <w:r>
        <w:t xml:space="preserve">Table 1</w:t>
      </w:r>
    </w:p>
    <w:p>
      <w:pPr>
        <w:pStyle w:val="BodyText"/>
      </w:pPr>
      <w:r>
        <w:t xml:space="preserve">Feature Matrix of the Re:Search Prototype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Purpose</w:t>
            </w:r>
          </w:p>
        </w:tc>
      </w:tr>
      <w:tr>
        <w:tc>
          <w:tcPr/>
          <w:p>
            <w:pPr>
              <w:pStyle w:val="Compact"/>
            </w:pPr>
            <w:r>
              <w:t xml:space="preserve">PDF import</w:t>
            </w:r>
          </w:p>
        </w:tc>
        <w:tc>
          <w:tcPr/>
          <w:p>
            <w:pPr>
              <w:pStyle w:val="Compact"/>
            </w:pPr>
            <w:r>
              <w:t xml:space="preserve">Upload a PDF and extract metadata from it</w:t>
            </w:r>
          </w:p>
        </w:tc>
      </w:tr>
      <w:tr>
        <w:tc>
          <w:tcPr/>
          <w:p>
            <w:pPr>
              <w:pStyle w:val="Compact"/>
            </w:pPr>
            <w:r>
              <w:t xml:space="preserve">BibTeX import</w:t>
            </w:r>
          </w:p>
        </w:tc>
        <w:tc>
          <w:tcPr/>
          <w:p>
            <w:pPr>
              <w:pStyle w:val="Compact"/>
            </w:pPr>
            <w:r>
              <w:t xml:space="preserve">Parse a BibTeX citation into a paper record</w:t>
            </w:r>
          </w:p>
        </w:tc>
      </w:tr>
      <w:tr>
        <w:tc>
          <w:tcPr/>
          <w:p>
            <w:pPr>
              <w:pStyle w:val="Compact"/>
            </w:pPr>
            <w:r>
              <w:t xml:space="preserve">Google Scholar import</w:t>
            </w:r>
          </w:p>
        </w:tc>
        <w:tc>
          <w:tcPr/>
          <w:p>
            <w:pPr>
              <w:pStyle w:val="Compact"/>
            </w:pPr>
            <w:r>
              <w:t xml:space="preserve">Import a Google Scholar BibTeX entry or Scholar URL</w:t>
            </w:r>
          </w:p>
        </w:tc>
      </w:tr>
      <w:tr>
        <w:tc>
          <w:tcPr/>
          <w:p>
            <w:pPr>
              <w:pStyle w:val="Compact"/>
            </w:pPr>
            <w:r>
              <w:t xml:space="preserve">Metadata extraction</w:t>
            </w:r>
          </w:p>
        </w:tc>
        <w:tc>
          <w:tcPr/>
          <w:p>
            <w:pPr>
              <w:pStyle w:val="Compact"/>
            </w:pPr>
            <w:r>
              <w:t xml:space="preserve">Pull title, abstract, keywords, year, authors, and DOI</w:t>
            </w:r>
          </w:p>
        </w:tc>
      </w:tr>
      <w:tr>
        <w:tc>
          <w:tcPr/>
          <w:p>
            <w:pPr>
              <w:pStyle w:val="Compact"/>
            </w:pPr>
            <w:r>
              <w:t xml:space="preserve">Subject classification</w:t>
            </w:r>
          </w:p>
        </w:tc>
        <w:tc>
          <w:tcPr/>
          <w:p>
            <w:pPr>
              <w:pStyle w:val="Compact"/>
            </w:pPr>
            <w:r>
              <w:t xml:space="preserve">Assign a Subject: Category label when missing</w:t>
            </w:r>
          </w:p>
        </w:tc>
      </w:tr>
      <w:tr>
        <w:tc>
          <w:tcPr/>
          <w:p>
            <w:pPr>
              <w:pStyle w:val="Compact"/>
            </w:pPr>
            <w:r>
              <w:t xml:space="preserve">Recommendation validation</w:t>
            </w:r>
          </w:p>
        </w:tc>
        <w:tc>
          <w:tcPr/>
          <w:p>
            <w:pPr>
              <w:pStyle w:val="Compact"/>
            </w:pPr>
            <w:r>
              <w:t xml:space="preserve">Mark a paper valid only if title, abstract, keywords, and year are present</w:t>
            </w:r>
          </w:p>
        </w:tc>
      </w:tr>
      <w:tr>
        <w:tc>
          <w:tcPr/>
          <w:p>
            <w:pPr>
              <w:pStyle w:val="Compact"/>
            </w:pPr>
            <w:r>
              <w:t xml:space="preserve">Prepared text</w:t>
            </w:r>
          </w:p>
        </w:tc>
        <w:tc>
          <w:tcPr/>
          <w:p>
            <w:pPr>
              <w:pStyle w:val="Compact"/>
            </w:pPr>
            <w:r>
              <w:t xml:space="preserve">Build the normalized Title + Abstract + Keywords block</w:t>
            </w:r>
          </w:p>
        </w:tc>
      </w:tr>
      <w:tr>
        <w:tc>
          <w:tcPr/>
          <w:p>
            <w:pPr>
              <w:pStyle w:val="Compact"/>
            </w:pPr>
            <w:r>
              <w:t xml:space="preserve">PDF discovery and attach</w:t>
            </w:r>
          </w:p>
        </w:tc>
        <w:tc>
          <w:tcPr/>
          <w:p>
            <w:pPr>
              <w:pStyle w:val="Compact"/>
            </w:pPr>
            <w:r>
              <w:t xml:space="preserve">Find and attach open-access PDFs (Unpaywall, Crossref, Semantic Scholar, arXiv, OpenAlex)</w:t>
            </w:r>
          </w:p>
        </w:tc>
      </w:tr>
      <w:tr>
        <w:tc>
          <w:tcPr/>
          <w:p>
            <w:pPr>
              <w:pStyle w:val="Compact"/>
            </w:pPr>
            <w:r>
              <w:t xml:space="preserve">Duplicate detection</w:t>
            </w:r>
          </w:p>
        </w:tc>
        <w:tc>
          <w:tcPr/>
          <w:p>
            <w:pPr>
              <w:pStyle w:val="Compact"/>
            </w:pPr>
            <w:r>
              <w:t xml:space="preserve">Reject re-imports across PDF, BibTeX, Scholar, and identifier imports by exact DOI or title similarity at or above 0.85</w:t>
            </w:r>
          </w:p>
        </w:tc>
      </w:tr>
      <w:tr>
        <w:tc>
          <w:tcPr/>
          <w:p>
            <w:pPr>
              <w:pStyle w:val="Compact"/>
            </w:pPr>
            <w:r>
              <w:t xml:space="preserve">TF-IDF pipeline</w:t>
            </w:r>
          </w:p>
        </w:tc>
        <w:tc>
          <w:tcPr/>
          <w:p>
            <w:pPr>
              <w:pStyle w:val="Compact"/>
            </w:pPr>
            <w:r>
              <w:t xml:space="preserve">Lexical cosine similarity on TF-IDF vectors</w:t>
            </w:r>
          </w:p>
        </w:tc>
      </w:tr>
      <w:tr>
        <w:tc>
          <w:tcPr/>
          <w:p>
            <w:pPr>
              <w:pStyle w:val="Compact"/>
            </w:pPr>
            <w:r>
              <w:t xml:space="preserve">S-BERT pipeline</w:t>
            </w:r>
          </w:p>
        </w:tc>
        <w:tc>
          <w:tcPr/>
          <w:p>
            <w:pPr>
              <w:pStyle w:val="Compact"/>
            </w:pPr>
            <w:r>
              <w:t xml:space="preserve">Semantic cosine similarity on sentence embeddings</w:t>
            </w:r>
          </w:p>
        </w:tc>
      </w:tr>
      <w:tr>
        <w:tc>
          <w:tcPr/>
          <w:p>
            <w:pPr>
              <w:pStyle w:val="Compact"/>
            </w:pPr>
            <w:r>
              <w:t xml:space="preserve">Metadata pipeline</w:t>
            </w:r>
          </w:p>
        </w:tc>
        <w:tc>
          <w:tcPr/>
          <w:p>
            <w:pPr>
              <w:pStyle w:val="Compact"/>
            </w:pPr>
            <w:r>
              <w:t xml:space="preserve">Four-signal metadata score (title, abstract, keywords, year)</w:t>
            </w:r>
          </w:p>
        </w:tc>
      </w:tr>
      <w:tr>
        <w:tc>
          <w:tcPr/>
          <w:p>
            <w:pPr>
              <w:pStyle w:val="Compact"/>
            </w:pPr>
            <w:r>
              <w:t xml:space="preserve">Six configurations and custom dials</w:t>
            </w:r>
          </w:p>
        </w:tc>
        <w:tc>
          <w:tcPr/>
          <w:p>
            <w:pPr>
              <w:pStyle w:val="Compact"/>
            </w:pPr>
            <w:r>
              <w:t xml:space="preserve">Weighted combinations of the three components</w:t>
            </w:r>
          </w:p>
        </w:tc>
      </w:tr>
      <w:tr>
        <w:tc>
          <w:tcPr/>
          <w:p>
            <w:pPr>
              <w:pStyle w:val="Compact"/>
            </w:pPr>
            <w:r>
              <w:t xml:space="preserve">Query search</w:t>
            </w:r>
          </w:p>
        </w:tc>
        <w:tc>
          <w:tcPr/>
          <w:p>
            <w:pPr>
              <w:pStyle w:val="Compact"/>
            </w:pPr>
            <w:r>
              <w:t xml:space="preserve">Recommend from a free-text query</w:t>
            </w:r>
          </w:p>
        </w:tc>
      </w:tr>
      <w:tr>
        <w:tc>
          <w:tcPr/>
          <w:p>
            <w:pPr>
              <w:pStyle w:val="Compact"/>
            </w:pPr>
            <w:r>
              <w:t xml:space="preserve">Seed-paper search</w:t>
            </w:r>
          </w:p>
        </w:tc>
        <w:tc>
          <w:tcPr/>
          <w:p>
            <w:pPr>
              <w:pStyle w:val="Compact"/>
            </w:pPr>
            <w:r>
              <w:t xml:space="preserve">Recommend papers similar to a chosen paper</w:t>
            </w:r>
          </w:p>
        </w:tc>
      </w:tr>
      <w:tr>
        <w:tc>
          <w:tcPr/>
          <w:p>
            <w:pPr>
              <w:pStyle w:val="Compact"/>
            </w:pPr>
            <w:r>
              <w:t xml:space="preserve">Arena comparison</w:t>
            </w:r>
          </w:p>
        </w:tc>
        <w:tc>
          <w:tcPr/>
          <w:p>
            <w:pPr>
              <w:pStyle w:val="Compact"/>
            </w:pPr>
            <w:r>
              <w:t xml:space="preserve">Run all six pipelines side by side on one query or seed</w:t>
            </w:r>
          </w:p>
        </w:tc>
      </w:tr>
      <w:tr>
        <w:tc>
          <w:tcPr/>
          <w:p>
            <w:pPr>
              <w:pStyle w:val="Compact"/>
            </w:pPr>
            <w:r>
              <w:t xml:space="preserve">Battle history</w:t>
            </w:r>
          </w:p>
        </w:tc>
        <w:tc>
          <w:tcPr/>
          <w:p>
            <w:pPr>
              <w:pStyle w:val="Compact"/>
            </w:pPr>
            <w:r>
              <w:t xml:space="preserve">Log every Arena run; tally wins, champion, and streaks</w:t>
            </w:r>
          </w:p>
        </w:tc>
      </w:tr>
      <w:tr>
        <w:tc>
          <w:tcPr/>
          <w:p>
            <w:pPr>
              <w:pStyle w:val="Compact"/>
            </w:pPr>
            <w:r>
              <w:t xml:space="preserve">Personal library</w:t>
            </w:r>
          </w:p>
        </w:tc>
        <w:tc>
          <w:tcPr/>
          <w:p>
            <w:pPr>
              <w:pStyle w:val="Compact"/>
            </w:pPr>
            <w:r>
              <w:t xml:space="preserve">Save papers for later reference</w:t>
            </w:r>
          </w:p>
        </w:tc>
      </w:tr>
      <w:tr>
        <w:tc>
          <w:tcPr/>
          <w:p>
            <w:pPr>
              <w:pStyle w:val="Compact"/>
            </w:pPr>
            <w:r>
              <w:t xml:space="preserve">PDF viewer</w:t>
            </w:r>
          </w:p>
        </w:tc>
        <w:tc>
          <w:tcPr/>
          <w:p>
            <w:pPr>
              <w:pStyle w:val="Compact"/>
            </w:pPr>
            <w:r>
              <w:t xml:space="preserve">Read attached PDFs in the browser</w:t>
            </w:r>
          </w:p>
        </w:tc>
      </w:tr>
      <w:tr>
        <w:tc>
          <w:tcPr/>
          <w:p>
            <w:pPr>
              <w:pStyle w:val="Compact"/>
            </w:pPr>
            <w:r>
              <w:t xml:space="preserve">Recommendation-index rebuild</w:t>
            </w:r>
          </w:p>
        </w:tc>
        <w:tc>
          <w:tcPr/>
          <w:p>
            <w:pPr>
              <w:pStyle w:val="Compact"/>
            </w:pPr>
            <w:r>
              <w:t xml:space="preserve">Recompute vectors and embeddings after repository changes</w:t>
            </w:r>
          </w:p>
        </w:tc>
      </w:tr>
      <w:tr>
        <w:tc>
          <w:tcPr/>
          <w:p>
            <w:pPr>
              <w:pStyle w:val="Compact"/>
            </w:pPr>
            <w:r>
              <w:t xml:space="preserve">Ranked repository search</w:t>
            </w:r>
          </w:p>
        </w:tc>
        <w:tc>
          <w:tcPr/>
          <w:p>
            <w:pPr>
              <w:pStyle w:val="Compact"/>
            </w:pPr>
            <w:r>
              <w:t xml:space="preserve">BM25 full-text ranking over title, author, keywords, and abstract, with snippets</w:t>
            </w:r>
          </w:p>
        </w:tc>
      </w:tr>
      <w:tr>
        <w:tc>
          <w:tcPr/>
          <w:p>
            <w:pPr>
              <w:pStyle w:val="Compact"/>
            </w:pPr>
            <w:r>
              <w:t xml:space="preserve">Citation-based relatedness</w:t>
            </w:r>
          </w:p>
        </w:tc>
        <w:tc>
          <w:tcPr/>
          <w:p>
            <w:pPr>
              <w:pStyle w:val="Compact"/>
            </w:pPr>
            <w:r>
              <w:t xml:space="preserve">Bibliographic coupling and co-citation cached from OpenAlex for graph edges and shared groups</w:t>
            </w:r>
          </w:p>
        </w:tc>
      </w:tr>
      <w:tr>
        <w:tc>
          <w:tcPr/>
          <w:p>
            <w:pPr>
              <w:pStyle w:val="Compact"/>
            </w:pPr>
            <w:r>
              <w:t xml:space="preserve">Diversified recommendations</w:t>
            </w:r>
          </w:p>
        </w:tc>
        <w:tc>
          <w:tcPr/>
          <w:p>
            <w:pPr>
              <w:pStyle w:val="Compact"/>
            </w:pPr>
            <w:r>
              <w:t xml:space="preserve">Optional MMR reranking that spreads near-duplicate results apart</w:t>
            </w:r>
          </w:p>
        </w:tc>
      </w:tr>
      <w:tr>
        <w:tc>
          <w:tcPr/>
          <w:p>
            <w:pPr>
              <w:pStyle w:val="Compact"/>
            </w:pPr>
            <w:r>
              <w:t xml:space="preserve">Offline evaluation harness</w:t>
            </w:r>
          </w:p>
        </w:tc>
        <w:tc>
          <w:tcPr/>
          <w:p>
            <w:pPr>
              <w:pStyle w:val="Compact"/>
            </w:pPr>
            <w:r>
              <w:t xml:space="preserve">Precision, recall, MRR, MAP, and NDCG over a relevance-judgment file</w:t>
            </w:r>
          </w:p>
        </w:tc>
      </w:tr>
      <w:tr>
        <w:tc>
          <w:tcPr/>
          <w:p>
            <w:pPr>
              <w:pStyle w:val="Compact"/>
            </w:pPr>
            <w:r>
              <w:t xml:space="preserve">Weight learning</w:t>
            </w:r>
          </w:p>
        </w:tc>
        <w:tc>
          <w:tcPr/>
          <w:p>
            <w:pPr>
              <w:pStyle w:val="Compact"/>
            </w:pPr>
            <w:r>
              <w:t xml:space="preserve">Offline grid search over the fusion weights against an evaluation metric</w:t>
            </w:r>
          </w:p>
        </w:tc>
      </w:tr>
      <w:tr>
        <w:tc>
          <w:tcPr/>
          <w:p>
            <w:pPr>
              <w:pStyle w:val="Compact"/>
            </w:pPr>
            <w:r>
              <w:t xml:space="preserve">Matrix index</w:t>
            </w:r>
          </w:p>
        </w:tc>
        <w:tc>
          <w:tcPr/>
          <w:p>
            <w:pPr>
              <w:pStyle w:val="Compact"/>
            </w:pPr>
            <w:r>
              <w:t xml:space="preserve">Precomputed NumPy matrices for TF-IDF and S-BERT scoring</w:t>
            </w:r>
          </w:p>
        </w:tc>
      </w:tr>
    </w:tbl>
    <w:p>
      <w:pPr>
        <w:pStyle w:val="BodyText"/>
      </w:pPr>
      <w:r>
        <w:t xml:space="preserve">The recommendation engine combines three components. The TF-IDF component follows Salton and Buckley’s (1988) term-weighting scheme. Its vocabulary and smoothed inverse-document frequencies are fitted once over the repository at index build, and every paper is stored as an L2-normalized term-weight vector:</w:t>
      </w:r>
    </w:p>
    <w:p>
      <w:pPr>
        <w:pStyle w:val="SourceCode"/>
      </w:pPr>
      <w:r>
        <w:rPr>
          <w:rStyle w:val="VerbatimChar"/>
        </w:rPr>
        <w:t xml:space="preserve">V        = vocabulary fitted on { text(d) : d in D }</w:t>
      </w:r>
      <w:r>
        <w:br/>
      </w:r>
      <w:r>
        <w:rPr>
          <w:rStyle w:val="VerbatimChar"/>
        </w:rPr>
        <w:t xml:space="preserve">idf(t)   = ln( (1 + n) / (1 + df(t)) ) + 1        smoothed IDF</w:t>
      </w:r>
      <w:r>
        <w:br/>
      </w:r>
      <w:r>
        <w:rPr>
          <w:rStyle w:val="VerbatimChar"/>
        </w:rPr>
        <w:t xml:space="preserve">w(t,d)   = tf(t,d) * idf(t)                       term weight</w:t>
      </w:r>
      <w:r>
        <w:br/>
      </w:r>
      <w:r>
        <w:rPr>
          <w:rStyle w:val="VerbatimChar"/>
        </w:rPr>
        <w:t xml:space="preserve">v(d)     = w(d) / ||w(d)||_2                      L2-normalized vector</w:t>
      </w:r>
    </w:p>
    <w:p>
      <w:pPr>
        <w:pStyle w:val="FirstParagraph"/>
      </w:pPr>
      <w:r>
        <w:t xml:space="preserve">At request time the query is vectorized with the same fitted vectorizer (never refit, so both vectors live in one vector space) and scored by cosine similarity:</w:t>
      </w:r>
    </w:p>
    <w:p>
      <w:pPr>
        <w:pStyle w:val="SourceCode"/>
      </w:pPr>
      <w:r>
        <w:rPr>
          <w:rStyle w:val="VerbatimChar"/>
        </w:rPr>
        <w:t xml:space="preserve">s_tfidf(d) = cos( v(Q), v(d) )</w:t>
      </w:r>
      <w:r>
        <w:br/>
      </w:r>
      <w:r>
        <w:rPr>
          <w:rStyle w:val="VerbatimChar"/>
        </w:rPr>
        <w:t xml:space="preserve">           = ( v(Q) · v(d) ) / ( ||v(Q)||_2 · ||v(d)||_2 )</w:t>
      </w:r>
    </w:p>
    <w:p>
      <w:pPr>
        <w:pStyle w:val="FirstParagraph"/>
      </w:pPr>
      <w:r>
        <w:t xml:space="preserve">The S-BERT component embeds the same prepared text with the sentence-transformers all-MiniLM-L6-v2 model (Reimers &amp; Gurevych, 2019) and scores by cosine similarity between embeddings, so papers that share no surface terms can still score close:</w:t>
      </w:r>
    </w:p>
    <w:p>
      <w:pPr>
        <w:pStyle w:val="SourceCode"/>
      </w:pPr>
      <w:r>
        <w:rPr>
          <w:rStyle w:val="VerbatimChar"/>
        </w:rPr>
        <w:t xml:space="preserve">e(d)       = SBERT( text(d) )  in R^384</w:t>
      </w:r>
      <w:r>
        <w:br/>
      </w:r>
      <w:r>
        <w:rPr>
          <w:rStyle w:val="VerbatimChar"/>
        </w:rPr>
        <w:t xml:space="preserve">s_sbert(d) = cos( e(Q), e(d) )</w:t>
      </w:r>
    </w:p>
    <w:p>
      <w:pPr>
        <w:pStyle w:val="FirstParagraph"/>
      </w:pPr>
      <w:r>
        <w:t xml:space="preserve">The metadata component scores four bibliographic signals at fixed equal weights of 25 percent:</w:t>
      </w:r>
    </w:p>
    <w:p>
      <w:pPr>
        <w:pStyle w:val="SourceCode"/>
      </w:pPr>
      <w:r>
        <w:rPr>
          <w:rStyle w:val="VerbatimChar"/>
        </w:rPr>
        <w:t xml:space="preserve">Metadata(d) = 0.25·sim(title) + 0.25·sim(abstract) + 0.25·sim(keywords) + 0.25·sim(year)</w:t>
      </w:r>
    </w:p>
    <w:p>
      <w:pPr>
        <w:pStyle w:val="FirstParagraph"/>
      </w:pPr>
      <w:r>
        <w:t xml:space="preserve">The three text fields are compared by TF-IDF cosine similarity after normalization (lowercase, punctuation stripped), and the year similarity is sim(year) = 1 / (1 + |Δyear|). A missing field contributes 0 while the fixed 0.25 weights are preserved, so a paper with only one available field cannot receive an inflated score. Which signals are active depends on the search mode. Seed-paper searches supply all four signals from the seed’s metadata. Free-text queries compare the query text against each candidate’s title, abstract, and keywords, while the year signal stays absent because a text query has no publication year, so the year term contributes zero. Metadata-inclusive pipelines therefore behave differently under the two search modes, and the Arena analysis stratifies results by query type.</w:t>
      </w:r>
    </w:p>
    <w:p>
      <w:pPr>
        <w:pStyle w:val="BodyText"/>
      </w:pPr>
      <w:r>
        <w:t xml:space="preserve">The six configurations fix the component weights in Table 2. A seventh</w:t>
      </w:r>
      <w:r>
        <w:t xml:space="preserve"> </w:t>
      </w:r>
      <w:r>
        <w:t xml:space="preserve">“custom”</w:t>
      </w:r>
      <w:r>
        <w:t xml:space="preserve"> </w:t>
      </w:r>
      <w:r>
        <w:t xml:space="preserve">pipeline lets the user set the three dials, which the backend normalizes so the weights sum to 1.</w:t>
      </w:r>
    </w:p>
    <w:p>
      <w:pPr>
        <w:pStyle w:val="BodyText"/>
      </w:pPr>
      <w:r>
        <w:t xml:space="preserve">Table 2</w:t>
      </w:r>
    </w:p>
    <w:p>
      <w:pPr>
        <w:pStyle w:val="BodyText"/>
      </w:pPr>
      <w:r>
        <w:t xml:space="preserve">Pipeline Weight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Pipeline</w:t>
            </w:r>
          </w:p>
        </w:tc>
        <w:tc>
          <w:tcPr/>
          <w:p>
            <w:pPr>
              <w:pStyle w:val="Compact"/>
            </w:pPr>
            <w:r>
              <w:t xml:space="preserve">w(tfidf)</w:t>
            </w:r>
          </w:p>
        </w:tc>
        <w:tc>
          <w:tcPr/>
          <w:p>
            <w:pPr>
              <w:pStyle w:val="Compact"/>
            </w:pPr>
            <w:r>
              <w:t xml:space="preserve">w(sbert)</w:t>
            </w:r>
          </w:p>
        </w:tc>
        <w:tc>
          <w:tcPr/>
          <w:p>
            <w:pPr>
              <w:pStyle w:val="Compact"/>
            </w:pPr>
            <w:r>
              <w:t xml:space="preserve">w(metadata)</w:t>
            </w:r>
          </w:p>
        </w:tc>
      </w:tr>
      <w:tr>
        <w:tc>
          <w:tcPr/>
          <w:p>
            <w:pPr>
              <w:pStyle w:val="Compact"/>
            </w:pPr>
            <w:r>
              <w:t xml:space="preserve">tfidf</w:t>
            </w:r>
          </w:p>
        </w:tc>
        <w:tc>
          <w:tcPr/>
          <w:p>
            <w:pPr>
              <w:pStyle w:val="Compact"/>
            </w:pPr>
            <w:r>
              <w:t xml:space="preserve">1.0</w:t>
            </w:r>
          </w:p>
        </w:tc>
        <w:tc>
          <w:tcPr/>
          <w:p>
            <w:pPr>
              <w:pStyle w:val="Compact"/>
            </w:pPr>
            <w:r>
              <w:t xml:space="preserve">0.0</w:t>
            </w:r>
          </w:p>
        </w:tc>
        <w:tc>
          <w:tcPr/>
          <w:p>
            <w:pPr>
              <w:pStyle w:val="Compact"/>
            </w:pPr>
            <w:r>
              <w:t xml:space="preserve">0.0</w:t>
            </w:r>
          </w:p>
        </w:tc>
      </w:tr>
      <w:tr>
        <w:tc>
          <w:tcPr/>
          <w:p>
            <w:pPr>
              <w:pStyle w:val="Compact"/>
            </w:pPr>
            <w:r>
              <w:t xml:space="preserve">sbert</w:t>
            </w:r>
          </w:p>
        </w:tc>
        <w:tc>
          <w:tcPr/>
          <w:p>
            <w:pPr>
              <w:pStyle w:val="Compact"/>
            </w:pPr>
            <w:r>
              <w:t xml:space="preserve">0.0</w:t>
            </w:r>
          </w:p>
        </w:tc>
        <w:tc>
          <w:tcPr/>
          <w:p>
            <w:pPr>
              <w:pStyle w:val="Compact"/>
            </w:pPr>
            <w:r>
              <w:t xml:space="preserve">1.0</w:t>
            </w:r>
          </w:p>
        </w:tc>
        <w:tc>
          <w:tcPr/>
          <w:p>
            <w:pPr>
              <w:pStyle w:val="Compact"/>
            </w:pPr>
            <w:r>
              <w:t xml:space="preserve">0.0</w:t>
            </w:r>
          </w:p>
        </w:tc>
      </w:tr>
      <w:tr>
        <w:tc>
          <w:tcPr/>
          <w:p>
            <w:pPr>
              <w:pStyle w:val="Compact"/>
            </w:pPr>
            <w:r>
              <w:t xml:space="preserve">tfidf_sbert</w:t>
            </w:r>
          </w:p>
        </w:tc>
        <w:tc>
          <w:tcPr/>
          <w:p>
            <w:pPr>
              <w:pStyle w:val="Compact"/>
            </w:pPr>
            <w:r>
              <w:t xml:space="preserve">0.5</w:t>
            </w:r>
          </w:p>
        </w:tc>
        <w:tc>
          <w:tcPr/>
          <w:p>
            <w:pPr>
              <w:pStyle w:val="Compact"/>
            </w:pPr>
            <w:r>
              <w:t xml:space="preserve">0.5</w:t>
            </w:r>
          </w:p>
        </w:tc>
        <w:tc>
          <w:tcPr/>
          <w:p>
            <w:pPr>
              <w:pStyle w:val="Compact"/>
            </w:pPr>
            <w:r>
              <w:t xml:space="preserve">0.0</w:t>
            </w:r>
          </w:p>
        </w:tc>
      </w:tr>
      <w:tr>
        <w:tc>
          <w:tcPr/>
          <w:p>
            <w:pPr>
              <w:pStyle w:val="Compact"/>
            </w:pPr>
            <w:r>
              <w:t xml:space="preserve">tfidf_metadata</w:t>
            </w:r>
          </w:p>
        </w:tc>
        <w:tc>
          <w:tcPr/>
          <w:p>
            <w:pPr>
              <w:pStyle w:val="Compact"/>
            </w:pPr>
            <w:r>
              <w:t xml:space="preserve">0.667</w:t>
            </w:r>
          </w:p>
        </w:tc>
        <w:tc>
          <w:tcPr/>
          <w:p>
            <w:pPr>
              <w:pStyle w:val="Compact"/>
            </w:pPr>
            <w:r>
              <w:t xml:space="preserve">0.0</w:t>
            </w:r>
          </w:p>
        </w:tc>
        <w:tc>
          <w:tcPr/>
          <w:p>
            <w:pPr>
              <w:pStyle w:val="Compact"/>
            </w:pPr>
            <w:r>
              <w:t xml:space="preserve">0.333</w:t>
            </w:r>
          </w:p>
        </w:tc>
      </w:tr>
      <w:tr>
        <w:tc>
          <w:tcPr/>
          <w:p>
            <w:pPr>
              <w:pStyle w:val="Compact"/>
            </w:pPr>
            <w:r>
              <w:t xml:space="preserve">sbert_metadata</w:t>
            </w:r>
          </w:p>
        </w:tc>
        <w:tc>
          <w:tcPr/>
          <w:p>
            <w:pPr>
              <w:pStyle w:val="Compact"/>
            </w:pPr>
            <w:r>
              <w:t xml:space="preserve">0.0</w:t>
            </w:r>
          </w:p>
        </w:tc>
        <w:tc>
          <w:tcPr/>
          <w:p>
            <w:pPr>
              <w:pStyle w:val="Compact"/>
            </w:pPr>
            <w:r>
              <w:t xml:space="preserve">0.667</w:t>
            </w:r>
          </w:p>
        </w:tc>
        <w:tc>
          <w:tcPr/>
          <w:p>
            <w:pPr>
              <w:pStyle w:val="Compact"/>
            </w:pPr>
            <w:r>
              <w:t xml:space="preserve">0.333</w:t>
            </w:r>
          </w:p>
        </w:tc>
      </w:tr>
      <w:tr>
        <w:tc>
          <w:tcPr/>
          <w:p>
            <w:pPr>
              <w:pStyle w:val="Compact"/>
            </w:pPr>
            <w:r>
              <w:t xml:space="preserve">tfidf_sbert_metadata</w:t>
            </w:r>
          </w:p>
        </w:tc>
        <w:tc>
          <w:tcPr/>
          <w:p>
            <w:pPr>
              <w:pStyle w:val="Compact"/>
            </w:pPr>
            <w:r>
              <w:t xml:space="preserve">0.4</w:t>
            </w:r>
          </w:p>
        </w:tc>
        <w:tc>
          <w:tcPr/>
          <w:p>
            <w:pPr>
              <w:pStyle w:val="Compact"/>
            </w:pPr>
            <w:r>
              <w:t xml:space="preserve">0.4</w:t>
            </w:r>
          </w:p>
        </w:tc>
        <w:tc>
          <w:tcPr/>
          <w:p>
            <w:pPr>
              <w:pStyle w:val="Compact"/>
            </w:pPr>
            <w:r>
              <w:t xml:space="preserve">0.2</w:t>
            </w:r>
          </w:p>
        </w:tc>
      </w:tr>
    </w:tbl>
    <w:p>
      <w:pPr>
        <w:pStyle w:val="BodyText"/>
      </w:pPr>
      <w:r>
        <w:t xml:space="preserve">Component scores are normalized independently before combination. TF-IDF and S-BERT raw scores are min-max normalized to [0, 1] (the degenerate all-equal case maps to 1.0), while metadata scores are already bounded and pass through unchanged. The final score is</w:t>
      </w:r>
    </w:p>
    <w:p>
      <w:pPr>
        <w:pStyle w:val="SourceCode"/>
      </w:pPr>
      <w:r>
        <w:rPr>
          <w:rStyle w:val="VerbatimChar"/>
        </w:rPr>
        <w:t xml:space="preserve">Final(d) = w_tfidf·norm_tfidf(d) + w_sbert·norm_sbert(d) + w_metadata·metadata(d)</w:t>
      </w:r>
    </w:p>
    <w:p>
      <w:pPr>
        <w:pStyle w:val="FirstParagraph"/>
      </w:pPr>
      <w:r>
        <w:t xml:space="preserve">Expanded for the six fixed configurations of Table 2, the final scores are:</w:t>
      </w:r>
    </w:p>
    <w:p>
      <w:pPr>
        <w:pStyle w:val="SourceCode"/>
      </w:pPr>
      <w:r>
        <w:rPr>
          <w:rStyle w:val="VerbatimChar"/>
        </w:rPr>
        <w:t xml:space="preserve">S(d) = 1.000 · s'_tfidf(d)                                          TF-IDF</w:t>
      </w:r>
      <w:r>
        <w:br/>
      </w:r>
      <w:r>
        <w:rPr>
          <w:rStyle w:val="VerbatimChar"/>
        </w:rPr>
        <w:t xml:space="preserve">S(d) = 1.000 · s'_sbert(d)                                          S-BERT</w:t>
      </w:r>
      <w:r>
        <w:br/>
      </w:r>
      <w:r>
        <w:rPr>
          <w:rStyle w:val="VerbatimChar"/>
        </w:rPr>
        <w:t xml:space="preserve">S(d) = 0.500 · s'_tfidf(d) + 0.500 · s'_sbert(d)                    TF-IDF + S-BERT</w:t>
      </w:r>
      <w:r>
        <w:br/>
      </w:r>
      <w:r>
        <w:rPr>
          <w:rStyle w:val="VerbatimChar"/>
        </w:rPr>
        <w:t xml:space="preserve">S(d) = 0.667 · s'_tfidf(d) + 0.333 · s'_meta(d)                     TF-IDF + Metadata</w:t>
      </w:r>
      <w:r>
        <w:br/>
      </w:r>
      <w:r>
        <w:rPr>
          <w:rStyle w:val="VerbatimChar"/>
        </w:rPr>
        <w:t xml:space="preserve">S(d) = 0.667 · s'_sbert(d) + 0.333 · s'_meta(d)                     S-BERT + Metadata</w:t>
      </w:r>
      <w:r>
        <w:br/>
      </w:r>
      <w:r>
        <w:rPr>
          <w:rStyle w:val="VerbatimChar"/>
        </w:rPr>
        <w:t xml:space="preserve">S(d) = 0.400 · s'_tfidf(d) + 0.400 · s'_sbert(d) + 0.200 · s'_meta(d)</w:t>
      </w:r>
      <w:r>
        <w:br/>
      </w:r>
      <w:r>
        <w:rPr>
          <w:rStyle w:val="VerbatimChar"/>
        </w:rPr>
        <w:t xml:space="preserve">                                                                   TF-IDF + S-BERT + Metadata</w:t>
      </w:r>
    </w:p>
    <w:p>
      <w:pPr>
        <w:pStyle w:val="FirstParagraph"/>
      </w:pPr>
      <w:r>
        <w:t xml:space="preserve">Components with zero weight are not computed at all. Results are ranked by Final(d) descending, with ties broken by newer publication year and then by title alphabetically; only papers with positive scores are returned, limited to top_k.</w:t>
      </w:r>
    </w:p>
    <w:p>
      <w:pPr>
        <w:pStyle w:val="BodyText"/>
      </w:pPr>
      <w:r>
        <w:t xml:space="preserve">The similar-papers graph operationalizes recommendation for a single paper: the selected paper becomes the origin node and the top_k results of the active pipeline become its neighbors. Every pair of graph papers is joined by a blended edge weight that reuses the active pipeline’s own components, so the graph cannot disagree with the pipeline that selected its nodes:</w:t>
      </w:r>
    </w:p>
    <w:p>
      <w:pPr>
        <w:pStyle w:val="SourceCode"/>
      </w:pPr>
      <w:r>
        <w:rPr>
          <w:rStyle w:val="VerbatimChar"/>
        </w:rPr>
        <w:t xml:space="preserve">w(a,b) = w_tfidf · cos( v_tfidf(a), v_tfidf(b) )</w:t>
      </w:r>
      <w:r>
        <w:br/>
      </w:r>
      <w:r>
        <w:rPr>
          <w:rStyle w:val="VerbatimChar"/>
        </w:rPr>
        <w:t xml:space="preserve">       + w_sbert · cos( e_sbert(a), e_sbert(b) )</w:t>
      </w:r>
      <w:r>
        <w:br/>
      </w:r>
      <w:r>
        <w:rPr>
          <w:rStyle w:val="VerbatimChar"/>
        </w:rPr>
        <w:t xml:space="preserve">       + w_meta  · meta(a, b)</w:t>
      </w:r>
      <w:r>
        <w:br/>
      </w:r>
      <w:r>
        <w:rPr>
          <w:rStyle w:val="VerbatimChar"/>
        </w:rPr>
        <w:t xml:space="preserve">       + 0.15    · J( authors(a), authors(b) )</w:t>
      </w:r>
      <w:r>
        <w:br/>
      </w:r>
      <w:r>
        <w:rPr>
          <w:rStyle w:val="VerbatimChar"/>
        </w:rPr>
        <w:t xml:space="preserve">       + 0.25    · sim_cit(a, b)</w:t>
      </w:r>
    </w:p>
    <w:p>
      <w:pPr>
        <w:pStyle w:val="FirstParagraph"/>
      </w:pPr>
      <w:r>
        <w:t xml:space="preserve">where meta(a, b) is the four-signal metadata score defined above, J is the Jaccard similarity over the papers’ author last names, and sim_cit(a, b) is the citation-relatedness score of the cached OpenAlex neighbourhood (Section B.13); the weight is clamped to [0, 1], and a missing stored vector contributes 0. Edges from the origin are always drawn; other pairs are drawn only at or above a minimum edge weight of 0.15. Dijkstra’s algorithm then computes the shortest path from the origin to every node with hop cost (1 − w), so a node’s distance summarizes how directly the paper connects back to the selected paper. The graph also reports authors, topics, and shared references or citers grouped across at least two graph papers, so bibliographic coupling and co-citation are computed directly rather than approximated by shared topics. Figure 1 shows the system architecture.</w:t>
      </w:r>
    </w:p>
    <w:p>
      <w:pPr>
        <w:pStyle w:val="BodyText"/>
      </w:pPr>
      <w:r>
        <w:t xml:space="preserve">Figure 1</w:t>
      </w:r>
    </w:p>
    <w:p>
      <w:pPr>
        <w:pStyle w:val="BodyText"/>
      </w:pPr>
      <w:r>
        <w:t xml:space="preserve">System Architecture of Re:Search</w:t>
      </w:r>
    </w:p>
    <w:p>
      <w:pPr>
        <w:pStyle w:val="SourceCode"/>
      </w:pPr>
      <w:r>
        <w:rPr>
          <w:rStyle w:val="VerbatimChar"/>
        </w:rPr>
        <w:t xml:space="preserve">┌──────────────────────────────────────────────────┐</w:t>
      </w:r>
      <w:r>
        <w:br/>
      </w:r>
      <w:r>
        <w:rPr>
          <w:rStyle w:val="VerbatimChar"/>
        </w:rPr>
        <w:t xml:space="preserve">│           React + TypeScript + Vite UI            │</w:t>
      </w:r>
      <w:r>
        <w:br/>
      </w:r>
      <w:r>
        <w:rPr>
          <w:rStyle w:val="VerbatimChar"/>
        </w:rPr>
        <w:t xml:space="preserve">│    Repository │ Search │ Evaluation (Arena)       │</w:t>
      </w:r>
      <w:r>
        <w:br/>
      </w:r>
      <w:r>
        <w:rPr>
          <w:rStyle w:val="VerbatimChar"/>
        </w:rPr>
        <w:t xml:space="preserve">└───────────────────────┬──────────────────────────┘</w:t>
      </w:r>
      <w:r>
        <w:br/>
      </w:r>
      <w:r>
        <w:rPr>
          <w:rStyle w:val="VerbatimChar"/>
        </w:rPr>
        <w:t xml:space="preserve">                        │ HTTP / JSON</w:t>
      </w:r>
      <w:r>
        <w:br/>
      </w:r>
      <w:r>
        <w:rPr>
          <w:rStyle w:val="VerbatimChar"/>
        </w:rPr>
        <w:t xml:space="preserve">┌───────────────────────▼──────────────────────────┐</w:t>
      </w:r>
      <w:r>
        <w:br/>
      </w:r>
      <w:r>
        <w:rPr>
          <w:rStyle w:val="VerbatimChar"/>
        </w:rPr>
        <w:t xml:space="preserve">│                FastAPI + Uvicorn                  │</w:t>
      </w:r>
      <w:r>
        <w:br/>
      </w:r>
      <w:r>
        <w:rPr>
          <w:rStyle w:val="VerbatimChar"/>
        </w:rPr>
        <w:t xml:space="preserve">│  /api/papers/*        /api/recommendations/*      │</w:t>
      </w:r>
      <w:r>
        <w:br/>
      </w:r>
      <w:r>
        <w:rPr>
          <w:rStyle w:val="VerbatimChar"/>
        </w:rPr>
        <w:t xml:space="preserve">│  /api/evaluation/battles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SQLAlchemy 2 + SQLite │  │  Recommendation Core    │</w:t>
      </w:r>
      <w:r>
        <w:br/>
      </w:r>
      <w:r>
        <w:rPr>
          <w:rStyle w:val="VerbatimChar"/>
        </w:rPr>
        <w:t xml:space="preserve">│ papers                 │  │  prepared text         │</w:t>
      </w:r>
      <w:r>
        <w:br/>
      </w:r>
      <w:r>
        <w:rPr>
          <w:rStyle w:val="VerbatimChar"/>
        </w:rPr>
        <w:t xml:space="preserve">│ battle_runs            │  │  TF-IDF vectors        │</w:t>
      </w:r>
      <w:r>
        <w:br/>
      </w:r>
      <w:r>
        <w:rPr>
          <w:rStyle w:val="VerbatimChar"/>
        </w:rPr>
        <w:t xml:space="preserve">│ index status file      │  │  S-BERT embeddings     │</w:t>
      </w:r>
      <w:r>
        <w:br/>
      </w:r>
      <w:r>
        <w:rPr>
          <w:rStyle w:val="VerbatimChar"/>
        </w:rPr>
        <w:t xml:space="preserve">│                        │  │  metadata score        │</w:t>
      </w:r>
      <w:r>
        <w:br/>
      </w:r>
      <w:r>
        <w:rPr>
          <w:rStyle w:val="VerbatimChar"/>
        </w:rPr>
        <w:t xml:space="preserve">│                        │  │  Arena comparison      │</w:t>
      </w:r>
      <w:r>
        <w:br/>
      </w:r>
      <w:r>
        <w:rPr>
          <w:rStyle w:val="VerbatimChar"/>
        </w:rPr>
        <w:t xml:space="preserve">└────────────────────────┘  └────────────────────────┘</w:t>
      </w:r>
    </w:p>
    <w:p>
      <w:pPr>
        <w:pStyle w:val="FirstParagraph"/>
      </w:pPr>
      <w:r>
        <w:t xml:space="preserve">The main interfaces are reproduced in Appendix A: the login page (Figure A-1), the recommendations page with pipeline selector and ranked results (Figure A-2), the repository page (Figure A-3), the upload page (Figure A-4), the My Library page (Figure A-5), and the Arena page with battle results and battle records (Figures A-6 and A-7). The complete mathematical specification of the components, the six configurations, and the similar-papers graph is given in Appendix B.</w:t>
      </w:r>
    </w:p>
    <w:bookmarkEnd w:id="362"/>
    <w:bookmarkStart w:id="369" w:name="process-of-developing-the-system"/>
    <w:p>
      <w:pPr>
        <w:pStyle w:val="Heading3"/>
      </w:pPr>
      <w:r>
        <w:t xml:space="preserve">Process of Developing the System</w:t>
      </w:r>
    </w:p>
    <w:p>
      <w:pPr>
        <w:pStyle w:val="FirstParagraph"/>
      </w:pPr>
      <w:r>
        <w:t xml:space="preserve">The researchers built the prototype through one repeated loop: planning fixed the scope, requirement analysis fixed what the system must do, design specified the data model and the API surface, development implemented it, and testing checked the build.</w:t>
      </w:r>
    </w:p>
    <w:bookmarkStart w:id="363" w:name="planning"/>
    <w:p>
      <w:pPr>
        <w:pStyle w:val="Heading4"/>
      </w:pPr>
      <w:r>
        <w:t xml:space="preserve">Planning</w:t>
      </w:r>
    </w:p>
    <w:p>
      <w:pPr>
        <w:pStyle w:val="FirstParagraph"/>
      </w:pPr>
      <w:r>
        <w:t xml:space="preserve">Planning fixed the study’s direction and scope from Chapter I: a local academic repository plus a recommendation engine with three components and six weight configurations, evaluated by an in-system Arena rather than by human raters. The researchers screened the design space of content-based and hybrid recommenders (Burke, 2002; Lops et al., 2011) for feasibility at prototype scale and fixed the scope to the following: PDF, BibTeX, and Google Scholar import; metadata extraction, classification, validation, and duplicate detection; TF-IDF and S-BERT representations; the six pipelines plus custom dials; query and seed-paper search; and the Arena with battle history. Excluded from the scope are collaborative filtering, production deployment, multi-user accounts, and real authentication.</w:t>
      </w:r>
    </w:p>
    <w:bookmarkEnd w:id="363"/>
    <w:bookmarkStart w:id="364" w:name="approach-in-development"/>
    <w:p>
      <w:pPr>
        <w:pStyle w:val="Heading4"/>
      </w:pPr>
      <w:r>
        <w:t xml:space="preserve">Approach in Development</w:t>
      </w:r>
    </w:p>
    <w:p>
      <w:pPr>
        <w:pStyle w:val="FirstParagraph"/>
      </w:pPr>
      <w:r>
        <w:t xml:space="preserve">Development followed an iterative prototyping cycle: requirements, design, build, test, refine, repeated until each slice met its requirements. Each cycle addressed a bounded part of the feature list, so the prototype could be demonstrated early and corrected while changes were still inexpensive. The approach suits a single-user local system: there is no deployment pipeline, no data migration, and only one machine to satisfy. Each iteration cost little and returned feedback quickly, so the design converged on working behavior without a production build.</w:t>
      </w:r>
    </w:p>
    <w:bookmarkEnd w:id="364"/>
    <w:bookmarkStart w:id="365" w:name="requirement-analysis"/>
    <w:p>
      <w:pPr>
        <w:pStyle w:val="Heading4"/>
      </w:pPr>
      <w:r>
        <w:t xml:space="preserve">Requirement Analysis</w:t>
      </w:r>
    </w:p>
    <w:p>
      <w:pPr>
        <w:pStyle w:val="FirstParagraph"/>
      </w:pPr>
      <w:r>
        <w:t xml:space="preserve">The researchers derived functional requirements from the Statement of the Problem. The system shall (a) import papers from PDFs, BibTeX files, and Google Scholar entries; (b) extract and normalize metadata; (c) classify papers by subject and validate them for recommendation; (d) detect and reject duplicates; (e) build prepared text and both vector representations; (f) run the six weight configurations and a normalized custom dial; (g) search by query or by seed paper; and (h) run the Arena and log every battle result.</w:t>
      </w:r>
    </w:p>
    <w:p>
      <w:pPr>
        <w:pStyle w:val="BodyText"/>
      </w:pPr>
      <w:r>
        <w:t xml:space="preserve">The researchers grouped the non-functional requirements into four areas.</w:t>
      </w:r>
      <w:r>
        <w:t xml:space="preserve"> </w:t>
      </w:r>
      <w:r>
        <w:rPr>
          <w:i/>
          <w:iCs/>
        </w:rPr>
        <w:t xml:space="preserve">Reproducibility</w:t>
      </w:r>
      <w:r>
        <w:t xml:space="preserve">: the same query, pipeline, and top_k must produce the same ranking on the same corpus.</w:t>
      </w:r>
      <w:r>
        <w:t xml:space="preserve"> </w:t>
      </w:r>
      <w:r>
        <w:rPr>
          <w:i/>
          <w:iCs/>
        </w:rPr>
        <w:t xml:space="preserve">Index consistency</w:t>
      </w:r>
      <w:r>
        <w:t xml:space="preserve">: the recommendation index must be rebuilt after repository changes, with stale-state tracking to flag drift.</w:t>
      </w:r>
      <w:r>
        <w:t xml:space="preserve"> </w:t>
      </w:r>
      <w:r>
        <w:rPr>
          <w:i/>
          <w:iCs/>
        </w:rPr>
        <w:t xml:space="preserve">Responsiveness</w:t>
      </w:r>
      <w:r>
        <w:t xml:space="preserve">: search and Arena runs must complete within interactive time on a local machine.</w:t>
      </w:r>
      <w:r>
        <w:t xml:space="preserve"> </w:t>
      </w:r>
      <w:r>
        <w:rPr>
          <w:i/>
          <w:iCs/>
        </w:rPr>
        <w:t xml:space="preserve">Single-node operation</w:t>
      </w:r>
      <w:r>
        <w:t xml:space="preserve">: the entire stack runs locally without external services.</w:t>
      </w:r>
    </w:p>
    <w:bookmarkEnd w:id="365"/>
    <w:bookmarkStart w:id="366" w:name="design"/>
    <w:p>
      <w:pPr>
        <w:pStyle w:val="Heading4"/>
      </w:pPr>
      <w:r>
        <w:t xml:space="preserve">Design</w:t>
      </w:r>
    </w:p>
    <w:p>
      <w:pPr>
        <w:pStyle w:val="FirstParagraph"/>
      </w:pPr>
      <w:r>
        <w:t xml:space="preserve">The researchers designed the data model around one entity, Paper, which holds the bibliographic metadata (title, abstract, keywords, year, authors, DOI, subject category), the validity flag and missing-field notes, the prepared text, and the two stored representations: a TF-IDF vector and an S-BERT embedding. The Arena writes one battle_runs row per logged battle. The weight presets live in a single configuration module as six named pipelines plus a custom-weights builder that normalizes dial allocations to sum to 1. The API surface covers paper upload and import (POST /api/papers/upload, /api/papers/import-bibtex, /api/papers/import-url), recommendation search, index status and rebuild, the Arena (POST /api/recommendations/compare), and battle history (GET /api/evaluation/battles).</w:t>
      </w:r>
    </w:p>
    <w:bookmarkEnd w:id="366"/>
    <w:bookmarkStart w:id="367" w:name="development"/>
    <w:p>
      <w:pPr>
        <w:pStyle w:val="Heading4"/>
      </w:pPr>
      <w:r>
        <w:t xml:space="preserve">Development</w:t>
      </w:r>
    </w:p>
    <w:p>
      <w:pPr>
        <w:pStyle w:val="FirstParagraph"/>
      </w:pPr>
      <w:r>
        <w:t xml:space="preserve">The researchers implemented the prototype with the stack below, recorded here for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Purpose</w:t>
            </w:r>
          </w:p>
        </w:tc>
      </w:tr>
      <w:tr>
        <w:tc>
          <w:tcPr/>
          <w:p>
            <w:pPr>
              <w:pStyle w:val="Compact"/>
            </w:pPr>
            <w:r>
              <w:t xml:space="preserve">FastAPI + Uvicorn</w:t>
            </w:r>
          </w:p>
        </w:tc>
        <w:tc>
          <w:tcPr/>
          <w:p>
            <w:pPr>
              <w:pStyle w:val="Compact"/>
            </w:pPr>
            <w:r>
              <w:t xml:space="preserve">REST API and local server</w:t>
            </w:r>
          </w:p>
        </w:tc>
      </w:tr>
      <w:tr>
        <w:tc>
          <w:tcPr/>
          <w:p>
            <w:pPr>
              <w:pStyle w:val="Compact"/>
            </w:pPr>
            <w:r>
              <w:t xml:space="preserve">SQLAlchemy 2 + SQLite</w:t>
            </w:r>
          </w:p>
        </w:tc>
        <w:tc>
          <w:tcPr/>
          <w:p>
            <w:pPr>
              <w:pStyle w:val="Compact"/>
            </w:pPr>
            <w:r>
              <w:t xml:space="preserve">Persistence of papers and battle runs</w:t>
            </w:r>
          </w:p>
        </w:tc>
      </w:tr>
      <w:tr>
        <w:tc>
          <w:tcPr/>
          <w:p>
            <w:pPr>
              <w:pStyle w:val="Compact"/>
            </w:pPr>
            <w:r>
              <w:t xml:space="preserve">SQLite FTS5</w:t>
            </w:r>
          </w:p>
        </w:tc>
        <w:tc>
          <w:tcPr/>
          <w:p>
            <w:pPr>
              <w:pStyle w:val="Compact"/>
            </w:pPr>
            <w:r>
              <w:t xml:space="preserve">Ranked full-text repository search</w:t>
            </w:r>
          </w:p>
        </w:tc>
      </w:tr>
      <w:tr>
        <w:tc>
          <w:tcPr/>
          <w:p>
            <w:pPr>
              <w:pStyle w:val="Compact"/>
            </w:pPr>
            <w:r>
              <w:t xml:space="preserve">scikit-learn</w:t>
            </w:r>
          </w:p>
        </w:tc>
        <w:tc>
          <w:tcPr/>
          <w:p>
            <w:pPr>
              <w:pStyle w:val="Compact"/>
            </w:pPr>
            <w:r>
              <w:t xml:space="preserve">TF-IDF vectorization</w:t>
            </w:r>
          </w:p>
        </w:tc>
      </w:tr>
      <w:tr>
        <w:tc>
          <w:tcPr/>
          <w:p>
            <w:pPr>
              <w:pStyle w:val="Compact"/>
            </w:pPr>
            <w:r>
              <w:t xml:space="preserve">sentence-transformers (all-MiniLM-L6-v2)</w:t>
            </w:r>
          </w:p>
        </w:tc>
        <w:tc>
          <w:tcPr/>
          <w:p>
            <w:pPr>
              <w:pStyle w:val="Compact"/>
            </w:pPr>
            <w:r>
              <w:t xml:space="preserve">S-BERT embeddings</w:t>
            </w:r>
          </w:p>
        </w:tc>
      </w:tr>
      <w:tr>
        <w:tc>
          <w:tcPr/>
          <w:p>
            <w:pPr>
              <w:pStyle w:val="Compact"/>
            </w:pPr>
            <w:r>
              <w:t xml:space="preserve">joblib + NumPy</w:t>
            </w:r>
          </w:p>
        </w:tc>
        <w:tc>
          <w:tcPr/>
          <w:p>
            <w:pPr>
              <w:pStyle w:val="Compact"/>
            </w:pPr>
            <w:r>
              <w:t xml:space="preserve">Persistence of vectors, precomputed matrices, and vector math</w:t>
            </w:r>
          </w:p>
        </w:tc>
      </w:tr>
      <w:tr>
        <w:tc>
          <w:tcPr/>
          <w:p>
            <w:pPr>
              <w:pStyle w:val="Compact"/>
            </w:pPr>
            <w:r>
              <w:t xml:space="preserve">pdfplumber</w:t>
            </w:r>
          </w:p>
        </w:tc>
        <w:tc>
          <w:tcPr/>
          <w:p>
            <w:pPr>
              <w:pStyle w:val="Compact"/>
            </w:pPr>
            <w:r>
              <w:t xml:space="preserve">PDF text extraction</w:t>
            </w:r>
          </w:p>
        </w:tc>
      </w:tr>
      <w:tr>
        <w:tc>
          <w:tcPr/>
          <w:p>
            <w:pPr>
              <w:pStyle w:val="Compact"/>
            </w:pPr>
            <w:r>
              <w:t xml:space="preserve">YAKE</w:t>
            </w:r>
          </w:p>
        </w:tc>
        <w:tc>
          <w:tcPr/>
          <w:p>
            <w:pPr>
              <w:pStyle w:val="Compact"/>
            </w:pPr>
            <w:r>
              <w:t xml:space="preserve">Keyword generation</w:t>
            </w:r>
          </w:p>
        </w:tc>
      </w:tr>
      <w:tr>
        <w:tc>
          <w:tcPr/>
          <w:p>
            <w:pPr>
              <w:pStyle w:val="Compact"/>
            </w:pPr>
            <w:r>
              <w:t xml:space="preserve">requests</w:t>
            </w:r>
          </w:p>
        </w:tc>
        <w:tc>
          <w:tcPr/>
          <w:p>
            <w:pPr>
              <w:pStyle w:val="Compact"/>
            </w:pPr>
            <w:r>
              <w:t xml:space="preserve">PDF discovery across external sources</w:t>
            </w:r>
          </w:p>
        </w:tc>
      </w:tr>
      <w:tr>
        <w:tc>
          <w:tcPr/>
          <w:p>
            <w:pPr>
              <w:pStyle w:val="Compact"/>
            </w:pPr>
            <w:r>
              <w:t xml:space="preserve">python-multipart</w:t>
            </w:r>
          </w:p>
        </w:tc>
        <w:tc>
          <w:tcPr/>
          <w:p>
            <w:pPr>
              <w:pStyle w:val="Compact"/>
            </w:pPr>
            <w:r>
              <w:t xml:space="preserve">File upload handling</w:t>
            </w:r>
          </w:p>
        </w:tc>
      </w:tr>
      <w:tr>
        <w:tc>
          <w:tcPr/>
          <w:p>
            <w:pPr>
              <w:pStyle w:val="Compact"/>
            </w:pPr>
            <w:r>
              <w:t xml:space="preserve">React + TypeScript + Vite</w:t>
            </w:r>
          </w:p>
        </w:tc>
        <w:tc>
          <w:tcPr/>
          <w:p>
            <w:pPr>
              <w:pStyle w:val="Compact"/>
            </w:pPr>
            <w:r>
              <w:t xml:space="preserve">Frontend application</w:t>
            </w:r>
          </w:p>
        </w:tc>
      </w:tr>
      <w:tr>
        <w:tc>
          <w:tcPr/>
          <w:p>
            <w:pPr>
              <w:pStyle w:val="Compact"/>
            </w:pPr>
            <w:r>
              <w:t xml:space="preserve">Tailwind CSS + lucide-react</w:t>
            </w:r>
          </w:p>
        </w:tc>
        <w:tc>
          <w:tcPr/>
          <w:p>
            <w:pPr>
              <w:pStyle w:val="Compact"/>
            </w:pPr>
            <w:r>
              <w:t xml:space="preserve">Styling and icons</w:t>
            </w:r>
          </w:p>
        </w:tc>
      </w:tr>
      <w:tr>
        <w:tc>
          <w:tcPr/>
          <w:p>
            <w:pPr>
              <w:pStyle w:val="Compact"/>
            </w:pPr>
            <w:r>
              <w:t xml:space="preserve">unittest (standard library)</w:t>
            </w:r>
          </w:p>
        </w:tc>
        <w:tc>
          <w:tcPr/>
          <w:p>
            <w:pPr>
              <w:pStyle w:val="Compact"/>
            </w:pPr>
            <w:r>
              <w:t xml:space="preserve">Backend tests</w:t>
            </w:r>
          </w:p>
        </w:tc>
      </w:tr>
    </w:tbl>
    <w:p>
      <w:pPr>
        <w:pStyle w:val="BodyText"/>
      </w:pPr>
      <w:r>
        <w:t xml:space="preserve">The backend persists the fitted TF-IDF vectorizer and the per-paper vectors with joblib. The master rebuild script (</w:t>
      </w:r>
      <w:r>
        <w:rPr>
          <w:rStyle w:val="VerbatimChar"/>
        </w:rPr>
        <w:t xml:space="preserve">python -m scripts.rebuild_recommendation</w:t>
      </w:r>
      <w:r>
        <w:t xml:space="preserve">) runs classify, validate, prepared text, TF-IDF, then S-BERT in order; a stale-state file (</w:t>
      </w:r>
      <w:r>
        <w:rPr>
          <w:rStyle w:val="VerbatimChar"/>
        </w:rPr>
        <w:t xml:space="preserve">storage/recommendation_index_status.json</w:t>
      </w:r>
      <w:r>
        <w:t xml:space="preserve">) plus the POST /api/recommendations/rebuild endpoint keep the index honest after imports change the corpus. The extensions in Appendix B, Sections B.9 through B.14, follow the same rebuild-and-fallback pattern.</w:t>
      </w:r>
    </w:p>
    <w:bookmarkEnd w:id="367"/>
    <w:bookmarkStart w:id="368" w:name="testing"/>
    <w:p>
      <w:pPr>
        <w:pStyle w:val="Heading4"/>
      </w:pPr>
      <w:r>
        <w:t xml:space="preserve">Testing</w:t>
      </w:r>
    </w:p>
    <w:p>
      <w:pPr>
        <w:pStyle w:val="FirstParagraph"/>
      </w:pPr>
      <w:r>
        <w:t xml:space="preserve">The researchers combined automated tests with a manual functional walkthrough. Backend unittest suites (133 tests covering extraction, upload, duplicate detection, ranked search, vector scoring, citations, diversification, learned weights, and offline evaluation) exercise the engine end to end, and the frontend is verified with the TypeScript type checker and the Vite production build (</w:t>
      </w:r>
      <w:r>
        <w:rPr>
          <w:rStyle w:val="VerbatimChar"/>
        </w:rPr>
        <w:t xml:space="preserve">npm run check</w:t>
      </w:r>
      <w:r>
        <w:t xml:space="preserve">). The manual walkthrough runs the full loop: import a PDF and a BibTeX entry, confirm classification and validation, rebuild the index, search by query and by seed paper, and run an Arena battle. Every deviation was recorded and corrected before the next iteration.</w:t>
      </w:r>
    </w:p>
    <w:bookmarkEnd w:id="368"/>
    <w:bookmarkEnd w:id="369"/>
    <w:bookmarkStart w:id="373" w:name="system-evaluation"/>
    <w:p>
      <w:pPr>
        <w:pStyle w:val="Heading3"/>
      </w:pPr>
      <w:r>
        <w:t xml:space="preserve">System Evaluation</w:t>
      </w:r>
    </w:p>
    <w:p>
      <w:pPr>
        <w:pStyle w:val="FirstParagraph"/>
      </w:pPr>
      <w:r>
        <w:t xml:space="preserve">The study will evaluate the six pipelines with the Arena, an in-system instrument, rather than with human raters. This follows a recognized offline evaluation approach for recommender systems, in which configurations are compared on ranking behavior over a fixed corpus without user involvement (Adomavicius &amp; Tuzhilin, 2005).</w:t>
      </w:r>
    </w:p>
    <w:bookmarkStart w:id="370" w:name="evaluation-instrument-arena-protocol"/>
    <w:p>
      <w:pPr>
        <w:pStyle w:val="Heading4"/>
      </w:pPr>
      <w:r>
        <w:t xml:space="preserve">Evaluation Instrument (Arena Protocol)</w:t>
      </w:r>
    </w:p>
    <w:p>
      <w:pPr>
        <w:pStyle w:val="FirstParagraph"/>
      </w:pPr>
      <w:r>
        <w:t xml:space="preserve">The Arena runs all six pipelines on the same query or seed paper at a chosen top_k (the interface offers 5, 10, and 15) and computes four structures. First,</w:t>
      </w:r>
      <w:r>
        <w:t xml:space="preserve"> </w:t>
      </w:r>
      <w:r>
        <w:rPr>
          <w:i/>
          <w:iCs/>
        </w:rPr>
        <w:t xml:space="preserve">per-pipeline ranked results</w:t>
      </w:r>
      <w:r>
        <w:t xml:space="preserve"> </w:t>
      </w:r>
      <w:r>
        <w:t xml:space="preserve">show each configuration’s own top_k list. Second, a</w:t>
      </w:r>
      <w:r>
        <w:t xml:space="preserve"> </w:t>
      </w:r>
      <w:r>
        <w:rPr>
          <w:i/>
          <w:iCs/>
        </w:rPr>
        <w:t xml:space="preserve">consensus ranking</w:t>
      </w:r>
      <w:r>
        <w:t xml:space="preserve"> </w:t>
      </w:r>
      <w:r>
        <w:t xml:space="preserve">orders every paper any pipeline ranked by votes (the number of pipelines that included it), then by average rank, then by paper id. Third,</w:t>
      </w:r>
      <w:r>
        <w:t xml:space="preserve"> </w:t>
      </w:r>
      <w:r>
        <w:rPr>
          <w:i/>
          <w:iCs/>
        </w:rPr>
        <w:t xml:space="preserve">pairwise agreement</w:t>
      </w:r>
      <w:r>
        <w:t xml:space="preserve"> </w:t>
      </w:r>
      <w:r>
        <w:t xml:space="preserve">is computed for every pair of pipelines as overlap@k, the number of shared papers, plus the mean absolute rank gap over the papers both pipelines ranked. Fourth, a</w:t>
      </w:r>
      <w:r>
        <w:t xml:space="preserve"> </w:t>
      </w:r>
      <w:r>
        <w:rPr>
          <w:i/>
          <w:iCs/>
        </w:rPr>
        <w:t xml:space="preserve">winner</w:t>
      </w:r>
      <w:r>
        <w:t xml:space="preserve"> </w:t>
      </w:r>
      <w:r>
        <w:t xml:space="preserve">is determined by independence-weighted consensus: each paper in a pipeline’s top_k collects votes from the other pipelines, where a vote from pipeline Q weighs 1 − Jaccard(P’s component set, Q’s component set). Disjoint pipelines weigh 1.0; a two-signal hybrid weighs exactly 0.5 against a pipeline built from one of its own components, and the three-signal hybrid weighs at most 2/3 against a single-signal pipeline sharing one component, so no pipeline can win through its own hybrids re-confirming its output. The winner is the pipeline with the largest share of its maximum possible weighted consensus; ties fall to the lower average consensus rank. The winner is a measure of agreement breadth under independence weighting, not of correctness: pipelines can agree in error together, and a configuration can win by being the best average of its rivals rather than the best recommender.</w:t>
      </w:r>
    </w:p>
    <w:p>
      <w:pPr>
        <w:pStyle w:val="BodyText"/>
      </w:pPr>
      <w:r>
        <w:t xml:space="preserve">Every run with a winner is logged as a battle_runs row holding the query or seed, top_k, winner pipeline, metric, value, average consensus rank, and timestamp. The Arena page tallies wins over time, showing the champion and current streaks, and the backend serves the full history through GET /api/evaluation/battles.</w:t>
      </w:r>
    </w:p>
    <w:bookmarkEnd w:id="370"/>
    <w:bookmarkStart w:id="371" w:name="data-collection"/>
    <w:p>
      <w:pPr>
        <w:pStyle w:val="Heading4"/>
      </w:pPr>
      <w:r>
        <w:t xml:space="preserve">Data Collection</w:t>
      </w:r>
    </w:p>
    <w:p>
      <w:pPr>
        <w:pStyle w:val="FirstParagraph"/>
      </w:pPr>
      <w:r>
        <w:t xml:space="preserve">The researchers will collect data by running a planned Arena campaign of 36 runs: one free-text query and one seed paper drawn from each of the repository’s six largest subject classifications (Machine Learning, Mathematical Analysis, Mathematical Modeling, Graph Theory, Linear Algebra, and Information Retrieval), each executed at top_k values of 5, 10, and 15, for 6 × 2 × 3 = 36 runs. The queries and seed papers will be selected by the researchers to represent each class’s dominant topics, and the final selection will be recorded together with the corpus’s subject-class composition before data collection begins; each run writes a battle_runs row automatically, and the researchers will export the battle history at the end of the campaign. The evaluation corpus is the repository itself, which holds 168 papers at the time of writing, 145 of them valid for recommendation. Runs logged during development walkthroughs exercised the instrument and are excluded from the reported results: the researchers will reset the battle history before the campaign, so the win tally, champion, and streaks reflect the formal runs only.</w:t>
      </w:r>
    </w:p>
    <w:bookmarkEnd w:id="371"/>
    <w:bookmarkStart w:id="372" w:name="data-processing-and-analysis"/>
    <w:p>
      <w:pPr>
        <w:pStyle w:val="Heading4"/>
      </w:pPr>
      <w:r>
        <w:t xml:space="preserve">Data Processing and Analysis</w:t>
      </w:r>
    </w:p>
    <w:p>
      <w:pPr>
        <w:pStyle w:val="FirstParagraph"/>
      </w:pPr>
      <w:r>
        <w:t xml:space="preserve">The researchers will process the battle history with descriptive statistics: vote counts and average ranks per paper in the consensus ranking, score distributions per pipeline, and win shares per pipeline (wins divided by total battles). Agreement analysis will summarize the pairwise measures, showing which configurations behave alike and which diverge, both in selection (overlap@k) and in position (mean rank gap). Winner determination applies the independence-weighted consensus rule per battle, and the tally across battles identifies the configuration with the most wins and the best average consensus rank. Table 3 summarizes the metrics and their interpretations.</w:t>
      </w:r>
    </w:p>
    <w:p>
      <w:pPr>
        <w:pStyle w:val="BodyText"/>
      </w:pPr>
      <w:r>
        <w:t xml:space="preserve">Table 3</w:t>
      </w:r>
    </w:p>
    <w:p>
      <w:pPr>
        <w:pStyle w:val="BodyText"/>
      </w:pPr>
      <w:r>
        <w:t xml:space="preserve">Evaluation Metrics and Interpretations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Formula</w:t>
            </w:r>
          </w:p>
        </w:tc>
        <w:tc>
          <w:tcPr/>
          <w:p>
            <w:pPr>
              <w:pStyle w:val="Compact"/>
            </w:pPr>
            <w:r>
              <w:t xml:space="preserve">Interpretation</w:t>
            </w:r>
          </w:p>
        </w:tc>
      </w:tr>
      <w:tr>
        <w:tc>
          <w:tcPr/>
          <w:p>
            <w:pPr>
              <w:pStyle w:val="Compact"/>
            </w:pPr>
            <w:r>
              <w:t xml:space="preserve">Consensus votes</w:t>
            </w:r>
          </w:p>
        </w:tc>
        <w:tc>
          <w:tcPr/>
          <w:p>
            <w:pPr>
              <w:pStyle w:val="Compact"/>
            </w:pPr>
            <w:r>
              <w:t xml:space="preserve">Number of pipelines that ranked paper d</w:t>
            </w:r>
          </w:p>
        </w:tc>
        <w:tc>
          <w:tcPr/>
          <w:p>
            <w:pPr>
              <w:pStyle w:val="Compact"/>
            </w:pPr>
            <w:r>
              <w:t xml:space="preserve">Breadth of agreement on d</w:t>
            </w:r>
          </w:p>
        </w:tc>
      </w:tr>
      <w:tr>
        <w:tc>
          <w:tcPr/>
          <w:p>
            <w:pPr>
              <w:pStyle w:val="Compact"/>
            </w:pPr>
            <w:r>
              <w:t xml:space="preserve">Average rank</w:t>
            </w:r>
          </w:p>
        </w:tc>
        <w:tc>
          <w:tcPr/>
          <w:p>
            <w:pPr>
              <w:pStyle w:val="Compact"/>
            </w:pPr>
            <w:r>
              <w:t xml:space="preserve">Mean of d’s ranks across its voters</w:t>
            </w:r>
          </w:p>
        </w:tc>
        <w:tc>
          <w:tcPr/>
          <w:p>
            <w:pPr>
              <w:pStyle w:val="Compact"/>
            </w:pPr>
            <w:r>
              <w:t xml:space="preserve">How high d sits on average</w:t>
            </w:r>
          </w:p>
        </w:tc>
      </w:tr>
      <w:tr>
        <w:tc>
          <w:tcPr/>
          <w:p>
            <w:pPr>
              <w:pStyle w:val="Compact"/>
            </w:pPr>
            <w:r>
              <w:t xml:space="preserve">Pairwise overlap@k</w:t>
            </w:r>
          </w:p>
        </w:tc>
        <w:tc>
          <w:tcPr/>
          <w:p>
            <w:pPr>
              <w:pStyle w:val="Compact"/>
            </w:pPr>
            <w:r>
              <w:t xml:space="preserve">Number of shared papers in two top_k lists</w:t>
            </w:r>
          </w:p>
        </w:tc>
        <w:tc>
          <w:tcPr/>
          <w:p>
            <w:pPr>
              <w:pStyle w:val="Compact"/>
            </w:pPr>
            <w:r>
              <w:t xml:space="preserve">Shared selection at k</w:t>
            </w:r>
          </w:p>
        </w:tc>
      </w:tr>
      <w:tr>
        <w:tc>
          <w:tcPr/>
          <w:p>
            <w:pPr>
              <w:pStyle w:val="Compact"/>
            </w:pPr>
            <w:r>
              <w:t xml:space="preserve">Mean rank gap</w:t>
            </w:r>
          </w:p>
        </w:tc>
        <w:tc>
          <w:tcPr/>
          <w:p>
            <w:pPr>
              <w:pStyle w:val="Compact"/>
            </w:pPr>
            <w:r>
              <w:t xml:space="preserve">Mean of |rank_P(d) − rank_Q(d)| over shared papers</w:t>
            </w:r>
          </w:p>
        </w:tc>
        <w:tc>
          <w:tcPr/>
          <w:p>
            <w:pPr>
              <w:pStyle w:val="Compact"/>
            </w:pPr>
            <w:r>
              <w:t xml:space="preserve">Positional divergence between pipelines</w:t>
            </w:r>
          </w:p>
        </w:tc>
      </w:tr>
      <w:tr>
        <w:tc>
          <w:tcPr/>
          <w:p>
            <w:pPr>
              <w:pStyle w:val="Compact"/>
            </w:pPr>
            <w:r>
              <w:t xml:space="preserve">Independence weight</w:t>
            </w:r>
          </w:p>
        </w:tc>
        <w:tc>
          <w:tcPr/>
          <w:p>
            <w:pPr>
              <w:pStyle w:val="Compact"/>
            </w:pPr>
            <w:r>
              <w:t xml:space="preserve">1 − Jaccard(component sets of P and Q)</w:t>
            </w:r>
          </w:p>
        </w:tc>
        <w:tc>
          <w:tcPr/>
          <w:p>
            <w:pPr>
              <w:pStyle w:val="Compact"/>
            </w:pPr>
            <w:r>
              <w:t xml:space="preserve">Strength of cross-evidence between pipelines</w:t>
            </w:r>
          </w:p>
        </w:tc>
      </w:tr>
      <w:tr>
        <w:tc>
          <w:tcPr/>
          <w:p>
            <w:pPr>
              <w:pStyle w:val="Compact"/>
            </w:pPr>
            <w:r>
              <w:t xml:space="preserve">Winner share</w:t>
            </w:r>
          </w:p>
        </w:tc>
        <w:tc>
          <w:tcPr/>
          <w:p>
            <w:pPr>
              <w:pStyle w:val="Compact"/>
            </w:pPr>
            <w:r>
              <w:t xml:space="preserve">Captured weighted consensus ÷ maximum possible</w:t>
            </w:r>
          </w:p>
        </w:tc>
        <w:tc>
          <w:tcPr/>
          <w:p>
            <w:pPr>
              <w:pStyle w:val="Compact"/>
            </w:pPr>
            <w:r>
              <w:t xml:space="preserve">Share of the strongest evidence a pipeline captured</w:t>
            </w:r>
          </w:p>
        </w:tc>
      </w:tr>
    </w:tbl>
    <w:p>
      <w:pPr>
        <w:pStyle w:val="BodyText"/>
      </w:pPr>
      <w:r>
        <w:t xml:space="preserve">The study will report these results descriptively; no inferential statistics will be applied, because the Arena produces system-internal agreement measures rather than human ratings drawn from a sampled population. No accept/reject language will be attached to the hypotheses; the statistics will describe observed differences within the bounds stated in the Limitations section. The Chapter I hypotheses will be assessed from the campaign’s observed statistics: win shares and average consensus ranks for consensus capture, and overlap and mean rank gap for ranking agreement. Every statistic will be computed overall and separately for the two query types (free-text runs and seed-paper runs), and per subject class where counts allow, so conclusions about metadata-inclusive pipelines are reported per query type and conclusions about lexical effects per class. The researchers will interpret the win tally and the agreement structure as evidence about which configurations agree with the widest set of independent signals, within the bounds stated in the Limitations section.</w:t>
      </w:r>
    </w:p>
    <w:bookmarkEnd w:id="372"/>
    <w:bookmarkEnd w:id="373"/>
    <w:bookmarkStart w:id="374" w:name="ethical-considerations"/>
    <w:p>
      <w:pPr>
        <w:pStyle w:val="Heading3"/>
      </w:pPr>
      <w:r>
        <w:t xml:space="preserve">Ethical Considerations</w:t>
      </w:r>
    </w:p>
    <w:p>
      <w:pPr>
        <w:pStyle w:val="FirstParagraph"/>
      </w:pPr>
      <w:r>
        <w:t xml:space="preserve">The study uses a corpus of publicly available academic metadata and open-access documents collected by the researchers for educational research. It involves no human subjects, collects no personal data, and conducts all processing on a single local machine. All citations in this chapter come from the approved source list and were verified manually against their DOI or publisher records; no bibliographic detail was taken from model recall. AI-assisted tools were used for drafting this chapter and for scaffolding code during development, and every technical claim was checked against the running prototype, its tests, and the live database.</w:t>
      </w:r>
    </w:p>
    <w:bookmarkEnd w:id="374"/>
    <w:bookmarkStart w:id="375" w:name="limitations-of-the-method"/>
    <w:p>
      <w:pPr>
        <w:pStyle w:val="Heading3"/>
      </w:pPr>
      <w:r>
        <w:t xml:space="preserve">Limitations of the Method</w:t>
      </w:r>
    </w:p>
    <w:p>
      <w:pPr>
        <w:pStyle w:val="Compact"/>
        <w:numPr>
          <w:ilvl w:val="0"/>
          <w:numId w:val="1004"/>
        </w:numPr>
      </w:pPr>
      <w:r>
        <w:rPr>
          <w:b/>
          <w:bCs/>
        </w:rPr>
        <w:t xml:space="preserve">Single corpus.</w:t>
      </w:r>
      <w:r>
        <w:t xml:space="preserve"> </w:t>
      </w:r>
      <w:r>
        <w:t xml:space="preserve">The evaluation runs on one local repository (168 papers, 145 valid for recommendation), so the results may not transfer to larger or differently sourced collections.</w:t>
      </w:r>
    </w:p>
    <w:p>
      <w:pPr>
        <w:pStyle w:val="Compact"/>
        <w:numPr>
          <w:ilvl w:val="0"/>
          <w:numId w:val="1004"/>
        </w:numPr>
      </w:pPr>
      <w:r>
        <w:rPr>
          <w:b/>
          <w:bCs/>
        </w:rPr>
        <w:t xml:space="preserve">Single semantic model.</w:t>
      </w:r>
      <w:r>
        <w:t xml:space="preserve"> </w:t>
      </w:r>
      <w:r>
        <w:t xml:space="preserve">All S-BERT scores rest on one embedding model (all-MiniLM-L6-v2); other models could rank the corpus differently.</w:t>
      </w:r>
    </w:p>
    <w:p>
      <w:pPr>
        <w:pStyle w:val="Compact"/>
        <w:numPr>
          <w:ilvl w:val="0"/>
          <w:numId w:val="1004"/>
        </w:numPr>
      </w:pPr>
      <w:r>
        <w:rPr>
          <w:b/>
          <w:bCs/>
        </w:rPr>
        <w:t xml:space="preserve">System-internal agreement.</w:t>
      </w:r>
      <w:r>
        <w:t xml:space="preserve"> </w:t>
      </w:r>
      <w:r>
        <w:t xml:space="preserve">The Arena measures agreement among pipelines, not relevance against human judgments, so it cannot certify which pipeline best serves real users. Human evaluation is deferred to future work because the study’s purpose is the controlled comparison of configurations on one corpus, not the certification of user-facing quality.</w:t>
      </w:r>
    </w:p>
    <w:p>
      <w:pPr>
        <w:pStyle w:val="Compact"/>
        <w:numPr>
          <w:ilvl w:val="0"/>
          <w:numId w:val="1004"/>
        </w:numPr>
      </w:pPr>
      <w:r>
        <w:rPr>
          <w:b/>
          <w:bCs/>
        </w:rPr>
        <w:t xml:space="preserve">Heuristic extraction.</w:t>
      </w:r>
      <w:r>
        <w:t xml:space="preserve"> </w:t>
      </w:r>
      <w:r>
        <w:t xml:space="preserve">Metadata comes from pdfplumber text extraction without OCR, so scanned or poorly encoded PDFs degrade the corpus.</w:t>
      </w:r>
    </w:p>
    <w:p>
      <w:pPr>
        <w:pStyle w:val="Compact"/>
        <w:numPr>
          <w:ilvl w:val="0"/>
          <w:numId w:val="1004"/>
        </w:numPr>
      </w:pPr>
      <w:r>
        <w:rPr>
          <w:b/>
          <w:bCs/>
        </w:rPr>
        <w:t xml:space="preserve">Lexical corpus bias.</w:t>
      </w:r>
      <w:r>
        <w:t xml:space="preserve"> </w:t>
      </w:r>
      <w:r>
        <w:t xml:space="preserve">TF-IDF similarity depends on shared vocabulary, so the topical spread of the corpus bounds what the lexical component can express.</w:t>
      </w:r>
    </w:p>
    <w:p>
      <w:pPr>
        <w:pStyle w:val="Compact"/>
        <w:numPr>
          <w:ilvl w:val="0"/>
          <w:numId w:val="1004"/>
        </w:numPr>
      </w:pPr>
      <w:r>
        <w:rPr>
          <w:b/>
          <w:bCs/>
        </w:rPr>
        <w:t xml:space="preserve">No collaborative signals.</w:t>
      </w:r>
      <w:r>
        <w:t xml:space="preserve"> </w:t>
      </w:r>
      <w:r>
        <w:t xml:space="preserve">The prototype is content-based only; collaborative, popularity, or usage signals are out of scope.</w:t>
      </w:r>
    </w:p>
    <w:p>
      <w:pPr>
        <w:pStyle w:val="Compact"/>
        <w:numPr>
          <w:ilvl w:val="0"/>
          <w:numId w:val="1004"/>
        </w:numPr>
      </w:pPr>
      <w:r>
        <w:rPr>
          <w:b/>
          <w:bCs/>
        </w:rPr>
        <w:t xml:space="preserve">Single-node operation.</w:t>
      </w:r>
      <w:r>
        <w:t xml:space="preserve"> </w:t>
      </w:r>
      <w:r>
        <w:t xml:space="preserve">SQLite and local storage bound scale and concurrency; the findings describe the prototype, not a production service.</w:t>
      </w:r>
    </w:p>
    <w:bookmarkEnd w:id="375"/>
    <w:bookmarkEnd w:id="376"/>
    <w:bookmarkStart w:id="378" w:name="references"/>
    <w:p>
      <w:pPr>
        <w:pStyle w:val="Heading2"/>
      </w:pPr>
      <w:r>
        <w:t xml:space="preserve">References</w:t>
      </w:r>
    </w:p>
    <w:p>
      <w:pPr>
        <w:pStyle w:val="FirstParagraph"/>
      </w:pPr>
      <w:r>
        <w:t xml:space="preserve">Adomavicius, G., &amp; Tuzhilin, A. (2005). Toward the next generation of recommender systems: A survey of the state-of-the-art and possible extensions.</w:t>
      </w:r>
      <w:r>
        <w:t xml:space="preserve"> </w:t>
      </w:r>
      <w:r>
        <w:rPr>
          <w:i/>
          <w:iCs/>
        </w:rPr>
        <w:t xml:space="preserve">IEEE Transactions on Knowledge and Data Engineering</w:t>
      </w:r>
      <w:r>
        <w:t xml:space="preserve">,</w:t>
      </w:r>
      <w:r>
        <w:t xml:space="preserve"> </w:t>
      </w:r>
      <w:r>
        <w:rPr>
          <w:i/>
          <w:iCs/>
        </w:rPr>
        <w:t xml:space="preserve">17</w:t>
      </w:r>
      <w:r>
        <w:t xml:space="preserve">(6), 734–749. https://doi.org/10.1109/TKDE.2005.99</w:t>
      </w:r>
    </w:p>
    <w:p>
      <w:pPr>
        <w:pStyle w:val="BodyText"/>
      </w:pPr>
      <w:r>
        <w:t xml:space="preserve">Burke, R. (2002). Hybrid recommender systems: Survey and experiments.</w:t>
      </w:r>
      <w:r>
        <w:t xml:space="preserve"> </w:t>
      </w:r>
      <w:r>
        <w:rPr>
          <w:i/>
          <w:iCs/>
        </w:rPr>
        <w:t xml:space="preserve">User Modeling and User-Adapted Interaction</w:t>
      </w:r>
      <w:r>
        <w:t xml:space="preserve">,</w:t>
      </w:r>
      <w:r>
        <w:t xml:space="preserve"> </w:t>
      </w:r>
      <w:r>
        <w:rPr>
          <w:i/>
          <w:iCs/>
        </w:rPr>
        <w:t xml:space="preserve">12</w:t>
      </w:r>
      <w:r>
        <w:t xml:space="preserve">(4), 331–370. https://doi.org/10.1023/A:1021240730564</w:t>
      </w:r>
    </w:p>
    <w:p>
      <w:pPr>
        <w:pStyle w:val="BodyText"/>
      </w:pPr>
      <w:r>
        <w:t xml:space="preserve">Lops, P., de Gemmis, M., &amp; Semeraro, G. (2011). Content-based recommender systems: State of the art and trends. In</w:t>
      </w:r>
      <w:r>
        <w:t xml:space="preserve"> </w:t>
      </w:r>
      <w:r>
        <w:rPr>
          <w:i/>
          <w:iCs/>
        </w:rPr>
        <w:t xml:space="preserve">Recommender systems handbook</w:t>
      </w:r>
      <w:r>
        <w:t xml:space="preserve"> </w:t>
      </w:r>
      <w:r>
        <w:t xml:space="preserve">(pp. 73–105). Springer. https://doi.org/10.1007/978-0-387-85820-3_3</w:t>
      </w:r>
    </w:p>
    <w:p>
      <w:pPr>
        <w:pStyle w:val="BodyText"/>
      </w:pPr>
      <w:r>
        <w:t xml:space="preserve">Reimers, N., &amp; Gurevych, I. (2019). Sentence-BERT: Sentence embeddings using Siamese BERT-networks. In</w:t>
      </w:r>
      <w:r>
        <w:t xml:space="preserve"> </w:t>
      </w:r>
      <w:r>
        <w:rPr>
          <w:i/>
          <w:iCs/>
        </w:rPr>
        <w:t xml:space="preserve">Proceedings of EMNLP-IJCNLP 2019</w:t>
      </w:r>
      <w:r>
        <w:t xml:space="preserve"> </w:t>
      </w:r>
      <w:r>
        <w:t xml:space="preserve">(pp. 3980–3990). https://doi.org/10.18653/v1/D19-1410</w:t>
      </w:r>
    </w:p>
    <w:p>
      <w:pPr>
        <w:pStyle w:val="BodyText"/>
      </w:pPr>
      <w:r>
        <w:t xml:space="preserve">Salton, G., &amp; Buckley, C. (1988). Term-weighting approaches in automatic text retrieval.</w:t>
      </w:r>
      <w:r>
        <w:t xml:space="preserve"> </w:t>
      </w:r>
      <w:r>
        <w:rPr>
          <w:i/>
          <w:iCs/>
        </w:rPr>
        <w:t xml:space="preserve">Information Processing &amp; Management</w:t>
      </w:r>
      <w:r>
        <w:t xml:space="preserve">,</w:t>
      </w:r>
      <w:r>
        <w:t xml:space="preserve"> </w:t>
      </w:r>
      <w:r>
        <w:rPr>
          <w:i/>
          <w:iCs/>
        </w:rPr>
        <w:t xml:space="preserve">24</w:t>
      </w:r>
      <w:r>
        <w:t xml:space="preserve">(5), 513–523. https://doi.org/10.1016/0306-4573(88)90021-0</w:t>
      </w:r>
    </w:p>
    <w:bookmarkStart w:id="377" w:name="ai-assisted-research-disclosure-2"/>
    <w:p>
      <w:pPr>
        <w:pStyle w:val="Heading3"/>
      </w:pPr>
      <w:r>
        <w:t xml:space="preserve">AI-Assisted Research Disclosure</w:t>
      </w:r>
    </w:p>
    <w:p>
      <w:pPr>
        <w:pStyle w:val="FirstParagraph"/>
      </w:pPr>
      <w:r>
        <w:t xml:space="preserve">AI-assisted tools were used for drafting this chapter and for scaffolding code during development. All citations were manually verified against the approved source list; no authors, DOIs, statistics, or implementation details were fabricated, and every technical claim was checked against the repository code, its tests, and the live database. The full provenance and verification trail is kept in the file audit-trail.md.</w:t>
      </w:r>
    </w:p>
    <w:bookmarkEnd w:id="377"/>
    <w:bookmarkEnd w:id="378"/>
    <w:bookmarkEnd w:id="379"/>
    <w:bookmarkStart w:id="402" w:name="appendix-a"/>
    <w:p>
      <w:pPr>
        <w:pStyle w:val="Heading1"/>
      </w:pPr>
      <w:r>
        <w:t xml:space="preserve">APPENDIX A</w:t>
      </w:r>
    </w:p>
    <w:bookmarkStart w:id="401" w:name="screenshots-of-the-system"/>
    <w:p>
      <w:pPr>
        <w:pStyle w:val="Heading2"/>
      </w:pPr>
      <w:r>
        <w:t xml:space="preserve">SCREENSHOTS OF THE SYSTEM</w:t>
      </w:r>
    </w:p>
    <w:p>
      <w:pPr>
        <w:pStyle w:val="FirstParagraph"/>
      </w:pPr>
      <w:r>
        <w:t xml:space="preserve">This appendix presents screenshots of the Re:Search prototype, the academic paper repository and recommendation system developed in this study. Each figure corresponds to a page exercised by the study’s evaluation workflow: importing papers, rebuilding the recommendation index, running the six recommendation pipelines, and comparing them in the Arena. Screenshots were captured from the running development build (Vite frontend against the local FastAPI backend) at a 1440 × 900 viewport.</w:t>
      </w:r>
    </w:p>
    <w:p>
      <w:pPr>
        <w:pStyle w:val="BodyText"/>
      </w:pPr>
      <w:r>
        <w:t xml:space="preserve">Figure A-1</w:t>
      </w:r>
    </w:p>
    <w:p>
      <w:pPr>
        <w:pStyle w:val="BodyText"/>
      </w:pPr>
      <w:r>
        <w:t xml:space="preserve">Login page</w:t>
      </w:r>
    </w:p>
    <w:p>
      <w:pPr>
        <w:pStyle w:val="CaptionedFigure"/>
      </w:pPr>
      <w:r>
        <w:drawing>
          <wp:inline>
            <wp:extent cx="5943600" cy="3714750"/>
            <wp:effectExtent b="0" l="0" r="0" t="0"/>
            <wp:docPr descr="Login page of the Re:Search prototype" title="" id="381" name="Picture"/>
            <a:graphic>
              <a:graphicData uri="http://schemas.openxmlformats.org/drawingml/2006/picture">
                <pic:pic>
                  <pic:nvPicPr>
                    <pic:cNvPr descr="appendix/screenshots/01-login.png" id="382" name="Picture"/>
                    <pic:cNvPicPr>
                      <a:picLocks noChangeArrowheads="1" noChangeAspect="1"/>
                    </pic:cNvPicPr>
                  </pic:nvPicPr>
                  <pic:blipFill>
                    <a:blip r:embed="rId380"/>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Login page of the Re:Search prototype</w:t>
      </w:r>
    </w:p>
    <w:p>
      <w:pPr>
        <w:pStyle w:val="BodyText"/>
      </w:pPr>
      <w:r>
        <w:t xml:space="preserve">Figure A-2</w:t>
      </w:r>
    </w:p>
    <w:p>
      <w:pPr>
        <w:pStyle w:val="BodyText"/>
      </w:pPr>
      <w:r>
        <w:t xml:space="preserve">Recommendations page</w:t>
      </w:r>
    </w:p>
    <w:p>
      <w:pPr>
        <w:pStyle w:val="CaptionedFigure"/>
      </w:pPr>
      <w:r>
        <w:drawing>
          <wp:inline>
            <wp:extent cx="5943600" cy="3714750"/>
            <wp:effectExtent b="0" l="0" r="0" t="0"/>
            <wp:docPr descr="Recommendations page showing the query bar, pipeline selector, and ranked results" title="" id="384" name="Picture"/>
            <a:graphic>
              <a:graphicData uri="http://schemas.openxmlformats.org/drawingml/2006/picture">
                <pic:pic>
                  <pic:nvPicPr>
                    <pic:cNvPr descr="appendix/screenshots/02-recommendations.png" id="385" name="Picture"/>
                    <pic:cNvPicPr>
                      <a:picLocks noChangeArrowheads="1" noChangeAspect="1"/>
                    </pic:cNvPicPr>
                  </pic:nvPicPr>
                  <pic:blipFill>
                    <a:blip r:embed="rId383"/>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Recommendations page showing the query bar, pipeline selector, and ranked results</w:t>
      </w:r>
    </w:p>
    <w:p>
      <w:pPr>
        <w:pStyle w:val="BodyText"/>
      </w:pPr>
      <w:r>
        <w:t xml:space="preserve">Figure A-3</w:t>
      </w:r>
    </w:p>
    <w:p>
      <w:pPr>
        <w:pStyle w:val="BodyText"/>
      </w:pPr>
      <w:r>
        <w:t xml:space="preserve">Repository page</w:t>
      </w:r>
    </w:p>
    <w:p>
      <w:pPr>
        <w:pStyle w:val="CaptionedFigure"/>
      </w:pPr>
      <w:r>
        <w:drawing>
          <wp:inline>
            <wp:extent cx="5943600" cy="3714750"/>
            <wp:effectExtent b="0" l="0" r="0" t="0"/>
            <wp:docPr descr="Repository page listing the stored papers with filters and sorting" title="" id="387" name="Picture"/>
            <a:graphic>
              <a:graphicData uri="http://schemas.openxmlformats.org/drawingml/2006/picture">
                <pic:pic>
                  <pic:nvPicPr>
                    <pic:cNvPr descr="appendix/screenshots/03-repository.png" id="388" name="Picture"/>
                    <pic:cNvPicPr>
                      <a:picLocks noChangeArrowheads="1" noChangeAspect="1"/>
                    </pic:cNvPicPr>
                  </pic:nvPicPr>
                  <pic:blipFill>
                    <a:blip r:embed="rId386"/>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Repository page listing the stored papers with filters and sorting</w:t>
      </w:r>
    </w:p>
    <w:p>
      <w:pPr>
        <w:pStyle w:val="BodyText"/>
      </w:pPr>
      <w:r>
        <w:t xml:space="preserve">Figure A-4</w:t>
      </w:r>
    </w:p>
    <w:p>
      <w:pPr>
        <w:pStyle w:val="BodyText"/>
      </w:pPr>
      <w:r>
        <w:t xml:space="preserve">Upload page</w:t>
      </w:r>
    </w:p>
    <w:p>
      <w:pPr>
        <w:pStyle w:val="CaptionedFigure"/>
      </w:pPr>
      <w:r>
        <w:drawing>
          <wp:inline>
            <wp:extent cx="5943600" cy="3714750"/>
            <wp:effectExtent b="0" l="0" r="0" t="0"/>
            <wp:docPr descr="Upload page for importing papers from PDF or BibTeX with the recommendation validation checklist" title="" id="390" name="Picture"/>
            <a:graphic>
              <a:graphicData uri="http://schemas.openxmlformats.org/drawingml/2006/picture">
                <pic:pic>
                  <pic:nvPicPr>
                    <pic:cNvPr descr="appendix/screenshots/04-upload.png" id="391" name="Picture"/>
                    <pic:cNvPicPr>
                      <a:picLocks noChangeArrowheads="1" noChangeAspect="1"/>
                    </pic:cNvPicPr>
                  </pic:nvPicPr>
                  <pic:blipFill>
                    <a:blip r:embed="rId38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Upload page for importing papers from PDF or BibTeX with the recommendation validation checklist</w:t>
      </w:r>
    </w:p>
    <w:p>
      <w:pPr>
        <w:pStyle w:val="BodyText"/>
      </w:pPr>
      <w:r>
        <w:t xml:space="preserve">Figure A-5</w:t>
      </w:r>
    </w:p>
    <w:p>
      <w:pPr>
        <w:pStyle w:val="BodyText"/>
      </w:pPr>
      <w:r>
        <w:t xml:space="preserve">My Library page</w:t>
      </w:r>
    </w:p>
    <w:p>
      <w:pPr>
        <w:pStyle w:val="CaptionedFigure"/>
      </w:pPr>
      <w:r>
        <w:drawing>
          <wp:inline>
            <wp:extent cx="5943600" cy="3714750"/>
            <wp:effectExtent b="0" l="0" r="0" t="0"/>
            <wp:docPr descr="My Library page showing papers saved by the local user" title="" id="393" name="Picture"/>
            <a:graphic>
              <a:graphicData uri="http://schemas.openxmlformats.org/drawingml/2006/picture">
                <pic:pic>
                  <pic:nvPicPr>
                    <pic:cNvPr descr="appendix/screenshots/05-my-library.png" id="394" name="Picture"/>
                    <pic:cNvPicPr>
                      <a:picLocks noChangeArrowheads="1" noChangeAspect="1"/>
                    </pic:cNvPicPr>
                  </pic:nvPicPr>
                  <pic:blipFill>
                    <a:blip r:embed="rId392"/>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My Library page showing papers saved by the local user</w:t>
      </w:r>
    </w:p>
    <w:p>
      <w:pPr>
        <w:pStyle w:val="BodyText"/>
      </w:pPr>
      <w:r>
        <w:t xml:space="preserve">Figure A-6</w:t>
      </w:r>
    </w:p>
    <w:p>
      <w:pPr>
        <w:pStyle w:val="BodyText"/>
      </w:pPr>
      <w:r>
        <w:t xml:space="preserve">Arena page — pipeline battle results</w:t>
      </w:r>
    </w:p>
    <w:p>
      <w:pPr>
        <w:pStyle w:val="CaptionedFigure"/>
      </w:pPr>
      <w:r>
        <w:drawing>
          <wp:inline>
            <wp:extent cx="5943600" cy="3714750"/>
            <wp:effectExtent b="0" l="0" r="0" t="0"/>
            <wp:docPr descr="Arena page after a battle run: winner banner, score distribution by rank, consensus ranking, and pairwise agreement" title="" id="396" name="Picture"/>
            <a:graphic>
              <a:graphicData uri="http://schemas.openxmlformats.org/drawingml/2006/picture">
                <pic:pic>
                  <pic:nvPicPr>
                    <pic:cNvPr descr="appendix/screenshots/06-arena.png" id="397" name="Picture"/>
                    <pic:cNvPicPr>
                      <a:picLocks noChangeArrowheads="1" noChangeAspect="1"/>
                    </pic:cNvPicPr>
                  </pic:nvPicPr>
                  <pic:blipFill>
                    <a:blip r:embed="rId395"/>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Arena page after a battle run: winner banner, score distribution by rank, consensus ranking, and pairwise agreement</w:t>
      </w:r>
    </w:p>
    <w:p>
      <w:pPr>
        <w:pStyle w:val="BodyText"/>
      </w:pPr>
      <w:r>
        <w:t xml:space="preserve">Figure A-7</w:t>
      </w:r>
    </w:p>
    <w:p>
      <w:pPr>
        <w:pStyle w:val="BodyText"/>
      </w:pPr>
      <w:r>
        <w:t xml:space="preserve">Arena page — battle records</w:t>
      </w:r>
    </w:p>
    <w:p>
      <w:pPr>
        <w:pStyle w:val="CaptionedFigure"/>
      </w:pPr>
      <w:r>
        <w:drawing>
          <wp:inline>
            <wp:extent cx="5943600" cy="3714750"/>
            <wp:effectExtent b="0" l="0" r="0" t="0"/>
            <wp:docPr descr="Arena page battle records section: win tally and battle history logged from previous runs" title="" id="399" name="Picture"/>
            <a:graphic>
              <a:graphicData uri="http://schemas.openxmlformats.org/drawingml/2006/picture">
                <pic:pic>
                  <pic:nvPicPr>
                    <pic:cNvPr descr="appendix/screenshots/07-arena-records.png" id="400" name="Picture"/>
                    <pic:cNvPicPr>
                      <a:picLocks noChangeArrowheads="1" noChangeAspect="1"/>
                    </pic:cNvPicPr>
                  </pic:nvPicPr>
                  <pic:blipFill>
                    <a:blip r:embed="rId398"/>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Arena page battle records section: win tally and battle history logged from previous runs</w:t>
      </w:r>
    </w:p>
    <w:bookmarkEnd w:id="401"/>
    <w:bookmarkEnd w:id="402"/>
    <w:bookmarkStart w:id="420" w:name="appendix-b"/>
    <w:p>
      <w:pPr>
        <w:pStyle w:val="Heading1"/>
      </w:pPr>
      <w:r>
        <w:t xml:space="preserve">APPENDIX B</w:t>
      </w:r>
    </w:p>
    <w:bookmarkStart w:id="418" w:name="Xf68865688fa4bdc6b0ebb5690eceecb2d23e9cc"/>
    <w:p>
      <w:pPr>
        <w:pStyle w:val="Heading2"/>
      </w:pPr>
      <w:r>
        <w:t xml:space="preserve">MATHEMATICAL SPECIFICATION OF THE RECOMMENDATION PIPELINES</w:t>
      </w:r>
    </w:p>
    <w:p>
      <w:pPr>
        <w:pStyle w:val="FirstParagraph"/>
      </w:pPr>
      <w:r>
        <w:t xml:space="preserve">This appendix states the mathematics the Re:Search prototype actually computes, exactly as implemented in</w:t>
      </w:r>
      <w:r>
        <w:t xml:space="preserve"> </w:t>
      </w:r>
      <w:r>
        <w:rPr>
          <w:rStyle w:val="VerbatimChar"/>
        </w:rPr>
        <w:t xml:space="preserve">app/services/recommendation/</w:t>
      </w:r>
      <w:r>
        <w:t xml:space="preserve"> </w:t>
      </w:r>
      <w:r>
        <w:t xml:space="preserve">(</w:t>
      </w:r>
      <w:r>
        <w:rPr>
          <w:rStyle w:val="VerbatimChar"/>
        </w:rPr>
        <w:t xml:space="preserve">search_service.py</w:t>
      </w:r>
      <w:r>
        <w:t xml:space="preserve">,</w:t>
      </w:r>
      <w:r>
        <w:t xml:space="preserve"> </w:t>
      </w:r>
      <w:r>
        <w:rPr>
          <w:rStyle w:val="VerbatimChar"/>
        </w:rPr>
        <w:t xml:space="preserve">tfidf_pipeline.py</w:t>
      </w:r>
      <w:r>
        <w:t xml:space="preserve">,</w:t>
      </w:r>
      <w:r>
        <w:t xml:space="preserve"> </w:t>
      </w:r>
      <w:r>
        <w:rPr>
          <w:rStyle w:val="VerbatimChar"/>
        </w:rPr>
        <w:t xml:space="preserve">sbert_pipeline.py</w:t>
      </w:r>
      <w:r>
        <w:t xml:space="preserve">,</w:t>
      </w:r>
      <w:r>
        <w:t xml:space="preserve"> </w:t>
      </w:r>
      <w:r>
        <w:rPr>
          <w:rStyle w:val="VerbatimChar"/>
        </w:rPr>
        <w:t xml:space="preserve">metadata_pipeline.py</w:t>
      </w:r>
      <w:r>
        <w:t xml:space="preserve">,</w:t>
      </w:r>
      <w:r>
        <w:t xml:space="preserve"> </w:t>
      </w:r>
      <w:r>
        <w:rPr>
          <w:rStyle w:val="VerbatimChar"/>
        </w:rPr>
        <w:t xml:space="preserve">similarity.py</w:t>
      </w:r>
      <w:r>
        <w:t xml:space="preserve">,</w:t>
      </w:r>
      <w:r>
        <w:t xml:space="preserve"> </w:t>
      </w:r>
      <w:r>
        <w:rPr>
          <w:rStyle w:val="VerbatimChar"/>
        </w:rPr>
        <w:t xml:space="preserve">pipeline_config.py</w:t>
      </w:r>
      <w:r>
        <w:t xml:space="preserve">), in</w:t>
      </w:r>
      <w:r>
        <w:t xml:space="preserve"> </w:t>
      </w:r>
      <w:r>
        <w:rPr>
          <w:rStyle w:val="VerbatimChar"/>
        </w:rPr>
        <w:t xml:space="preserve">app/services/connected_graph.py</w:t>
      </w:r>
      <w:r>
        <w:t xml:space="preserve"> </w:t>
      </w:r>
      <w:r>
        <w:t xml:space="preserve">for the similar-papers graph, and in the extension modules added after the initial specification (</w:t>
      </w:r>
      <w:r>
        <w:rPr>
          <w:rStyle w:val="VerbatimChar"/>
        </w:rPr>
        <w:t xml:space="preserve">fts_search.py</w:t>
      </w:r>
      <w:r>
        <w:t xml:space="preserve">,</w:t>
      </w:r>
      <w:r>
        <w:t xml:space="preserve"> </w:t>
      </w:r>
      <w:r>
        <w:rPr>
          <w:rStyle w:val="VerbatimChar"/>
        </w:rPr>
        <w:t xml:space="preserve">vector_index.py</w:t>
      </w:r>
      <w:r>
        <w:t xml:space="preserve">,</w:t>
      </w:r>
      <w:r>
        <w:t xml:space="preserve"> </w:t>
      </w:r>
      <w:r>
        <w:rPr>
          <w:rStyle w:val="VerbatimChar"/>
        </w:rPr>
        <w:t xml:space="preserve">mmr.py</w:t>
      </w:r>
      <w:r>
        <w:t xml:space="preserve">,</w:t>
      </w:r>
      <w:r>
        <w:t xml:space="preserve"> </w:t>
      </w:r>
      <w:r>
        <w:rPr>
          <w:rStyle w:val="VerbatimChar"/>
        </w:rPr>
        <w:t xml:space="preserve">learned_weights.py</w:t>
      </w:r>
      <w:r>
        <w:t xml:space="preserve">,</w:t>
      </w:r>
      <w:r>
        <w:t xml:space="preserve"> </w:t>
      </w:r>
      <w:r>
        <w:rPr>
          <w:rStyle w:val="VerbatimChar"/>
        </w:rPr>
        <w:t xml:space="preserve">citations.py</w:t>
      </w:r>
      <w:r>
        <w:t xml:space="preserve">, and</w:t>
      </w:r>
      <w:r>
        <w:t xml:space="preserve"> </w:t>
      </w:r>
      <w:r>
        <w:rPr>
          <w:rStyle w:val="VerbatimChar"/>
        </w:rPr>
        <w:t xml:space="preserve">app/services/evaluation/</w:t>
      </w:r>
      <w:r>
        <w:t xml:space="preserve">). Sections B.1 through B.8 cover the components, the normalization rule, the six pipeline configurations, the ranking rule, and the similar-papers graph; Sections B.9 through B.14 specify the implemented extensions: BM25 ranked repository search, precomputed vector matrices, MMR diversification, learned fusion weights, citation-based relatedness, and the offline retrieval metrics. The frontend reproduces the core formulas in its pipeline-math panel (</w:t>
      </w:r>
      <w:r>
        <w:rPr>
          <w:rStyle w:val="VerbatimChar"/>
        </w:rPr>
        <w:t xml:space="preserve">frontend/src/data/pipelinemath.ts</w:t>
      </w:r>
      <w:r>
        <w:t xml:space="preserve">), so a user can watch the real numbers flow through every formula.</w:t>
      </w:r>
    </w:p>
    <w:bookmarkStart w:id="403" w:name="notation"/>
    <w:p>
      <w:pPr>
        <w:pStyle w:val="Heading3"/>
      </w:pPr>
      <w:r>
        <w:t xml:space="preserve">Notation</w:t>
      </w:r>
    </w:p>
    <w:p>
      <w:pPr>
        <w:pStyle w:val="SourceCode"/>
      </w:pPr>
      <w:r>
        <w:rPr>
          <w:rStyle w:val="VerbatimChar"/>
        </w:rPr>
        <w:t xml:space="preserve">Q          = query text, or the seed paper's prepared text</w:t>
      </w:r>
      <w:r>
        <w:br/>
      </w:r>
      <w:r>
        <w:rPr>
          <w:rStyle w:val="VerbatimChar"/>
        </w:rPr>
        <w:t xml:space="preserve">D          = { d_1, ..., d_n } = candidate papers valid for</w:t>
      </w:r>
      <w:r>
        <w:br/>
      </w:r>
      <w:r>
        <w:rPr>
          <w:rStyle w:val="VerbatimChar"/>
        </w:rPr>
        <w:t xml:space="preserve">             recommendation (is_valid_for_recommendation = true)</w:t>
      </w:r>
      <w:r>
        <w:br/>
      </w:r>
      <w:r>
        <w:rPr>
          <w:rStyle w:val="VerbatimChar"/>
        </w:rPr>
        <w:t xml:space="preserve">R          = final ranked list, |R| = top_k</w:t>
      </w:r>
      <w:r>
        <w:br/>
      </w:r>
      <w:r>
        <w:rPr>
          <w:rStyle w:val="VerbatimChar"/>
        </w:rPr>
        <w:t xml:space="preserve">w_pipe     = ( w_tfidf, w_sbert, w_meta ) = pipeline weights</w:t>
      </w:r>
    </w:p>
    <w:bookmarkEnd w:id="403"/>
    <w:bookmarkStart w:id="404" w:name="b.1-text-preparation"/>
    <w:p>
      <w:pPr>
        <w:pStyle w:val="Heading3"/>
      </w:pPr>
      <w:r>
        <w:t xml:space="preserve">B.1 Text Preparation</w:t>
      </w:r>
    </w:p>
    <w:p>
      <w:pPr>
        <w:pStyle w:val="FirstParagraph"/>
      </w:pPr>
      <w:r>
        <w:t xml:space="preserve">All components consume the same prepared text: the paper’s Title, Abstract, and Keywords, normalized by lowercasing, stripping punctuation, and collapsing whitespace runs to one space.</w:t>
      </w:r>
    </w:p>
    <w:p>
      <w:pPr>
        <w:pStyle w:val="SourceCode"/>
      </w:pPr>
      <w:r>
        <w:rPr>
          <w:rStyle w:val="VerbatimChar"/>
        </w:rPr>
        <w:t xml:space="preserve">text(d) = normalize( Title(d) + Abstract(d) + Keywords(d) )</w:t>
      </w:r>
      <w:r>
        <w:br/>
      </w:r>
      <w:r>
        <w:br/>
      </w:r>
      <w:r>
        <w:rPr>
          <w:rStyle w:val="VerbatimChar"/>
        </w:rPr>
        <w:t xml:space="preserve">text(Q) = prepared query text for free-text queries</w:t>
      </w:r>
      <w:r>
        <w:br/>
      </w:r>
      <w:r>
        <w:rPr>
          <w:rStyle w:val="VerbatimChar"/>
        </w:rPr>
        <w:t xml:space="preserve">        = stored prepared text for seed-paper queries</w:t>
      </w:r>
    </w:p>
    <w:bookmarkEnd w:id="404"/>
    <w:bookmarkStart w:id="405" w:name="b.2-tf-idf-component-lexical-similarity"/>
    <w:p>
      <w:pPr>
        <w:pStyle w:val="Heading3"/>
      </w:pPr>
      <w:r>
        <w:t xml:space="preserve">B.2 TF-IDF Component — Lexical Similarity</w:t>
      </w:r>
    </w:p>
    <w:p>
      <w:pPr>
        <w:pStyle w:val="FirstParagraph"/>
      </w:pPr>
      <w:r>
        <w:t xml:space="preserve">The vocabulary and inverse-document frequencies are fitted once per repository (index build) and never refit at request time, so the query vector and the stored vectors live in the same vector space.</w:t>
      </w:r>
    </w:p>
    <w:p>
      <w:pPr>
        <w:pStyle w:val="SourceCode"/>
      </w:pPr>
      <w:r>
        <w:rPr>
          <w:rStyle w:val="VerbatimChar"/>
        </w:rPr>
        <w:t xml:space="preserve">Offline (index build):</w:t>
      </w:r>
      <w:r>
        <w:br/>
      </w:r>
      <w:r>
        <w:br/>
      </w:r>
      <w:r>
        <w:rPr>
          <w:rStyle w:val="VerbatimChar"/>
        </w:rPr>
        <w:t xml:space="preserve">  V          = vocabulary fitted on { text(d) : d in D }</w:t>
      </w:r>
      <w:r>
        <w:br/>
      </w:r>
      <w:r>
        <w:rPr>
          <w:rStyle w:val="VerbatimChar"/>
        </w:rPr>
        <w:t xml:space="preserve">  df(t)      = number of papers in D containing term t</w:t>
      </w:r>
      <w:r>
        <w:br/>
      </w:r>
      <w:r>
        <w:rPr>
          <w:rStyle w:val="VerbatimChar"/>
        </w:rPr>
        <w:t xml:space="preserve">  idf(t)     = ln( (1 + n) / (1 + df(t)) ) + 1      smoothed IDF</w:t>
      </w:r>
      <w:r>
        <w:br/>
      </w:r>
      <w:r>
        <w:rPr>
          <w:rStyle w:val="VerbatimChar"/>
        </w:rPr>
        <w:t xml:space="preserve">  w(t,d)     = tf(t,d) * idf(t)                     term weight</w:t>
      </w:r>
      <w:r>
        <w:br/>
      </w:r>
      <w:r>
        <w:rPr>
          <w:rStyle w:val="VerbatimChar"/>
        </w:rPr>
        <w:t xml:space="preserve">  v(d)       = w(d) / ||w(d)||_2                    L2-normalized vector</w:t>
      </w:r>
      <w:r>
        <w:br/>
      </w:r>
      <w:r>
        <w:br/>
      </w:r>
      <w:r>
        <w:rPr>
          <w:rStyle w:val="VerbatimChar"/>
        </w:rPr>
        <w:t xml:space="preserve">Online (per request):</w:t>
      </w:r>
      <w:r>
        <w:br/>
      </w:r>
      <w:r>
        <w:br/>
      </w:r>
      <w:r>
        <w:rPr>
          <w:rStyle w:val="VerbatimChar"/>
        </w:rPr>
        <w:t xml:space="preserve">  v(Q)       = the fitted vectorizer applied to text(Q)</w:t>
      </w:r>
      <w:r>
        <w:br/>
      </w:r>
      <w:r>
        <w:rPr>
          <w:rStyle w:val="VerbatimChar"/>
        </w:rPr>
        <w:t xml:space="preserve">  s_tfidf(d) = cos( v(Q), v(d) )</w:t>
      </w:r>
      <w:r>
        <w:br/>
      </w:r>
      <w:r>
        <w:rPr>
          <w:rStyle w:val="VerbatimChar"/>
        </w:rPr>
        <w:t xml:space="preserve">             = ( v(Q) . v(d) ) / ( ||v(Q)||_2 * ||v(d)||_2 )</w:t>
      </w:r>
      <w:r>
        <w:br/>
      </w:r>
      <w:r>
        <w:rPr>
          <w:rStyle w:val="VerbatimChar"/>
        </w:rPr>
        <w:t xml:space="preserve">             = 0 if either vector is the zero vector</w:t>
      </w:r>
    </w:p>
    <w:bookmarkEnd w:id="405"/>
    <w:bookmarkStart w:id="406" w:name="b.3-s-bert-component-semantic-similarity"/>
    <w:p>
      <w:pPr>
        <w:pStyle w:val="Heading3"/>
      </w:pPr>
      <w:r>
        <w:t xml:space="preserve">B.3 S-BERT Component — Semantic Similarity</w:t>
      </w:r>
    </w:p>
    <w:p>
      <w:pPr>
        <w:pStyle w:val="FirstParagraph"/>
      </w:pPr>
      <w:r>
        <w:t xml:space="preserve">Prepared text is embedded with the sentence-transformers model</w:t>
      </w:r>
      <w:r>
        <w:t xml:space="preserve"> </w:t>
      </w:r>
      <w:r>
        <w:rPr>
          <w:rStyle w:val="VerbatimChar"/>
        </w:rPr>
        <w:t xml:space="preserve">all-MiniLM-L6-v2</w:t>
      </w:r>
      <w:r>
        <w:t xml:space="preserve"> </w:t>
      </w:r>
      <w:r>
        <w:t xml:space="preserve">(384 dimensions) and compared by cosine similarity, so papers that share no surface terms can still score close.</w:t>
      </w:r>
    </w:p>
    <w:p>
      <w:pPr>
        <w:pStyle w:val="SourceCode"/>
      </w:pPr>
      <w:r>
        <w:rPr>
          <w:rStyle w:val="VerbatimChar"/>
        </w:rPr>
        <w:t xml:space="preserve">  e(d)      = SBERT( text(d) )  in R^384</w:t>
      </w:r>
      <w:r>
        <w:br/>
      </w:r>
      <w:r>
        <w:rPr>
          <w:rStyle w:val="VerbatimChar"/>
        </w:rPr>
        <w:t xml:space="preserve">  e(Q)      = SBERT( text(Q) )</w:t>
      </w:r>
      <w:r>
        <w:br/>
      </w:r>
      <w:r>
        <w:br/>
      </w:r>
      <w:r>
        <w:rPr>
          <w:rStyle w:val="VerbatimChar"/>
        </w:rPr>
        <w:t xml:space="preserve">  s_sbert(d) = cos( e(Q), e(d) )</w:t>
      </w:r>
      <w:r>
        <w:br/>
      </w:r>
      <w:r>
        <w:rPr>
          <w:rStyle w:val="VerbatimChar"/>
        </w:rPr>
        <w:t xml:space="preserve">             = ( e(Q) . e(d) ) / ( ||e(Q)||_2 * ||e(d)||_2 )</w:t>
      </w:r>
    </w:p>
    <w:bookmarkEnd w:id="406"/>
    <w:bookmarkStart w:id="407" w:name="Xca8a4a1b79fa4a68e675ed202bb7fb6fb457ee7"/>
    <w:p>
      <w:pPr>
        <w:pStyle w:val="Heading3"/>
      </w:pPr>
      <w:r>
        <w:t xml:space="preserve">B.4 Metadata Component — Field-Level Similarity</w:t>
      </w:r>
    </w:p>
    <w:p>
      <w:pPr>
        <w:pStyle w:val="FirstParagraph"/>
      </w:pPr>
      <w:r>
        <w:t xml:space="preserve">The metadata component scores four bibliographic signals at fixed equal weights of 25 percent. Text fields are compared by cosine similarity between pairwise TF-IDF vectors fitted on the two texts; the publication year is compared by temporal distance. A missing field contributes 0, and the fixed weights are preserved so a paper with only one available field cannot receive an inflated score because the others are absent.</w:t>
      </w:r>
    </w:p>
    <w:p>
      <w:pPr>
        <w:pStyle w:val="SourceCode"/>
      </w:pPr>
      <w:r>
        <w:rPr>
          <w:rStyle w:val="VerbatimChar"/>
        </w:rPr>
        <w:t xml:space="preserve">For each text field f in { title, abstract, keywords } :</w:t>
      </w:r>
      <w:r>
        <w:br/>
      </w:r>
      <w:r>
        <w:br/>
      </w:r>
      <w:r>
        <w:rPr>
          <w:rStyle w:val="VerbatimChar"/>
        </w:rPr>
        <w:t xml:space="preserve">  s_f(d) = cos( TFIDF({ f(Q) }), TFIDF({ f(d) }) )</w:t>
      </w:r>
      <w:r>
        <w:br/>
      </w:r>
      <w:r>
        <w:rPr>
          <w:rStyle w:val="VerbatimChar"/>
        </w:rPr>
        <w:t xml:space="preserve">         = 0  if the field is missing in Q or d</w:t>
      </w:r>
      <w:r>
        <w:br/>
      </w:r>
      <w:r>
        <w:br/>
      </w:r>
      <w:r>
        <w:rPr>
          <w:rStyle w:val="VerbatimChar"/>
        </w:rPr>
        <w:t xml:space="preserve">Publication year — temporal proximity:</w:t>
      </w:r>
      <w:r>
        <w:br/>
      </w:r>
      <w:r>
        <w:br/>
      </w:r>
      <w:r>
        <w:rPr>
          <w:rStyle w:val="VerbatimChar"/>
        </w:rPr>
        <w:t xml:space="preserve">  s_year(d) = 1 / ( 1 + | year(Q) - year(d) | )</w:t>
      </w:r>
      <w:r>
        <w:br/>
      </w:r>
      <w:r>
        <w:rPr>
          <w:rStyle w:val="VerbatimChar"/>
        </w:rPr>
        <w:t xml:space="preserve">            = 0  if either year is missing</w:t>
      </w:r>
      <w:r>
        <w:br/>
      </w:r>
      <w:r>
        <w:br/>
      </w:r>
      <w:r>
        <w:rPr>
          <w:rStyle w:val="VerbatimChar"/>
        </w:rPr>
        <w:t xml:space="preserve">Fixed equal signal weights (25% each):</w:t>
      </w:r>
      <w:r>
        <w:br/>
      </w:r>
      <w:r>
        <w:br/>
      </w:r>
      <w:r>
        <w:rPr>
          <w:rStyle w:val="VerbatimChar"/>
        </w:rPr>
        <w:t xml:space="preserve">  s_meta(d) = 0.25 * s_title(d)</w:t>
      </w:r>
      <w:r>
        <w:br/>
      </w:r>
      <w:r>
        <w:rPr>
          <w:rStyle w:val="VerbatimChar"/>
        </w:rPr>
        <w:t xml:space="preserve">            + 0.25 * s_abstract(d)</w:t>
      </w:r>
      <w:r>
        <w:br/>
      </w:r>
      <w:r>
        <w:rPr>
          <w:rStyle w:val="VerbatimChar"/>
        </w:rPr>
        <w:t xml:space="preserve">            + 0.25 * s_keywords(d)</w:t>
      </w:r>
      <w:r>
        <w:br/>
      </w:r>
      <w:r>
        <w:rPr>
          <w:rStyle w:val="VerbatimChar"/>
        </w:rPr>
        <w:t xml:space="preserve">            + 0.25 * s_year(d)</w:t>
      </w:r>
      <w:r>
        <w:br/>
      </w:r>
      <w:r>
        <w:br/>
      </w:r>
      <w:r>
        <w:rPr>
          <w:rStyle w:val="VerbatimChar"/>
        </w:rPr>
        <w:t xml:space="preserve">  s_meta(d) is clamped to [0, 1].</w:t>
      </w:r>
    </w:p>
    <w:p>
      <w:pPr>
        <w:pStyle w:val="FirstParagraph"/>
      </w:pPr>
      <w:r>
        <w:t xml:space="preserve">For free-text queries the query text is compared against each candidate’s title, abstract, and keywords, while the year signal remains absent because a text query carries no defensible publication year; seed-paper queries activate all four signals.</w:t>
      </w:r>
    </w:p>
    <w:bookmarkEnd w:id="407"/>
    <w:bookmarkStart w:id="408" w:name="b.5-score-normalization"/>
    <w:p>
      <w:pPr>
        <w:pStyle w:val="Heading3"/>
      </w:pPr>
      <w:r>
        <w:t xml:space="preserve">B.5 Score Normalization</w:t>
      </w:r>
    </w:p>
    <w:p>
      <w:pPr>
        <w:pStyle w:val="FirstParagraph"/>
      </w:pPr>
      <w:r>
        <w:t xml:space="preserve">TF-IDF and S-BERT raw cosine scores are min-max normalized across all candidates before combination; metadata scores are already bounded in [0, 1] by construction and pass through unchanged. If every score is identical, the degenerate case maps every candidate to 1.0.</w:t>
      </w:r>
    </w:p>
    <w:p>
      <w:pPr>
        <w:pStyle w:val="SourceCode"/>
      </w:pPr>
      <w:r>
        <w:rPr>
          <w:rStyle w:val="VerbatimChar"/>
        </w:rPr>
        <w:t xml:space="preserve">  s'(d) = ( s(d) - min_s ) / ( max_s - min_s )</w:t>
      </w:r>
      <w:r>
        <w:br/>
      </w:r>
      <w:r>
        <w:rPr>
          <w:rStyle w:val="VerbatimChar"/>
        </w:rPr>
        <w:t xml:space="preserve">        = 1.0 for every d   if max_s = min_s   (degenerate)</w:t>
      </w:r>
      <w:r>
        <w:br/>
      </w:r>
      <w:r>
        <w:br/>
      </w:r>
      <w:r>
        <w:rPr>
          <w:rStyle w:val="VerbatimChar"/>
        </w:rPr>
        <w:t xml:space="preserve">  s'_meta(d) = s_meta(d)          (no normalization)</w:t>
      </w:r>
    </w:p>
    <w:bookmarkEnd w:id="408"/>
    <w:bookmarkStart w:id="409" w:name="b.6-the-six-pipeline-configurations"/>
    <w:p>
      <w:pPr>
        <w:pStyle w:val="Heading3"/>
      </w:pPr>
      <w:r>
        <w:t xml:space="preserve">B.6 The Six Pipeline Configurations</w:t>
      </w:r>
    </w:p>
    <w:p>
      <w:pPr>
        <w:pStyle w:val="FirstParagraph"/>
      </w:pPr>
      <w:r>
        <w:t xml:space="preserve">Each configuration is a weighted combination of the normalized component scores. Components with zero weight are not computed at all. Table B-1 lists the six presets with their exact formulas.</w:t>
      </w:r>
    </w:p>
    <w:p>
      <w:pPr>
        <w:pStyle w:val="BodyText"/>
      </w:pPr>
      <w:r>
        <w:t xml:space="preserve">Table B-1</w:t>
      </w:r>
    </w:p>
    <w:p>
      <w:pPr>
        <w:pStyle w:val="BodyText"/>
      </w:pPr>
      <w:r>
        <w:t xml:space="preserve">The Six Pipeline Configurations and Their Score Formulas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w:t>
            </w:r>
          </w:p>
        </w:tc>
        <w:tc>
          <w:tcPr/>
          <w:p>
            <w:pPr>
              <w:pStyle w:val="Compact"/>
            </w:pPr>
            <w:r>
              <w:t xml:space="preserve">Weights (tfidf, sbert, meta)</w:t>
            </w:r>
          </w:p>
        </w:tc>
        <w:tc>
          <w:tcPr/>
          <w:p>
            <w:pPr>
              <w:pStyle w:val="Compact"/>
            </w:pPr>
            <w:r>
              <w:t xml:space="preserve">Final score S(d)</w:t>
            </w:r>
          </w:p>
        </w:tc>
      </w:tr>
      <w:tr>
        <w:tc>
          <w:tcPr/>
          <w:p>
            <w:pPr>
              <w:pStyle w:val="Compact"/>
            </w:pPr>
            <w:r>
              <w:t xml:space="preserve">TF-IDF</w:t>
            </w:r>
          </w:p>
        </w:tc>
        <w:tc>
          <w:tcPr/>
          <w:p>
            <w:pPr>
              <w:pStyle w:val="Compact"/>
            </w:pPr>
            <w:r>
              <w:t xml:space="preserve">(1.000, 0.000, 0.000)</w:t>
            </w:r>
          </w:p>
        </w:tc>
        <w:tc>
          <w:tcPr/>
          <w:p>
            <w:pPr>
              <w:pStyle w:val="Compact"/>
            </w:pPr>
            <w:r>
              <w:t xml:space="preserve">1.000 · s’_tfidf(d)</w:t>
            </w:r>
          </w:p>
        </w:tc>
      </w:tr>
      <w:tr>
        <w:tc>
          <w:tcPr/>
          <w:p>
            <w:pPr>
              <w:pStyle w:val="Compact"/>
            </w:pPr>
            <w:r>
              <w:t xml:space="preserve">S-BERT</w:t>
            </w:r>
          </w:p>
        </w:tc>
        <w:tc>
          <w:tcPr/>
          <w:p>
            <w:pPr>
              <w:pStyle w:val="Compact"/>
            </w:pPr>
            <w:r>
              <w:t xml:space="preserve">(0.000, 1.000, 0.000)</w:t>
            </w:r>
          </w:p>
        </w:tc>
        <w:tc>
          <w:tcPr/>
          <w:p>
            <w:pPr>
              <w:pStyle w:val="Compact"/>
            </w:pPr>
            <w:r>
              <w:t xml:space="preserve">1.000 · s’_sbert(d)</w:t>
            </w:r>
          </w:p>
        </w:tc>
      </w:tr>
      <w:tr>
        <w:tc>
          <w:tcPr/>
          <w:p>
            <w:pPr>
              <w:pStyle w:val="Compact"/>
            </w:pPr>
            <w:r>
              <w:t xml:space="preserve">TF-IDF + S-BERT</w:t>
            </w:r>
          </w:p>
        </w:tc>
        <w:tc>
          <w:tcPr/>
          <w:p>
            <w:pPr>
              <w:pStyle w:val="Compact"/>
            </w:pPr>
            <w:r>
              <w:t xml:space="preserve">(0.500, 0.500, 0.000)</w:t>
            </w:r>
          </w:p>
        </w:tc>
        <w:tc>
          <w:tcPr/>
          <w:p>
            <w:pPr>
              <w:pStyle w:val="Compact"/>
            </w:pPr>
            <w:r>
              <w:t xml:space="preserve">0.500 · s’_tfidf(d) + 0.500 · s’_sbert(d)</w:t>
            </w:r>
          </w:p>
        </w:tc>
      </w:tr>
      <w:tr>
        <w:tc>
          <w:tcPr/>
          <w:p>
            <w:pPr>
              <w:pStyle w:val="Compact"/>
            </w:pPr>
            <w:r>
              <w:t xml:space="preserve">TF-IDF + Metadata</w:t>
            </w:r>
          </w:p>
        </w:tc>
        <w:tc>
          <w:tcPr/>
          <w:p>
            <w:pPr>
              <w:pStyle w:val="Compact"/>
            </w:pPr>
            <w:r>
              <w:t xml:space="preserve">(0.667, 0.000, 0.333)</w:t>
            </w:r>
          </w:p>
        </w:tc>
        <w:tc>
          <w:tcPr/>
          <w:p>
            <w:pPr>
              <w:pStyle w:val="Compact"/>
            </w:pPr>
            <w:r>
              <w:t xml:space="preserve">0.667 · s’_tfidf(d) + 0.333 · s’_meta(d)</w:t>
            </w:r>
          </w:p>
        </w:tc>
      </w:tr>
      <w:tr>
        <w:tc>
          <w:tcPr/>
          <w:p>
            <w:pPr>
              <w:pStyle w:val="Compact"/>
            </w:pPr>
            <w:r>
              <w:t xml:space="preserve">S-BERT + Metadata</w:t>
            </w:r>
          </w:p>
        </w:tc>
        <w:tc>
          <w:tcPr/>
          <w:p>
            <w:pPr>
              <w:pStyle w:val="Compact"/>
            </w:pPr>
            <w:r>
              <w:t xml:space="preserve">(0.000, 0.667, 0.333)</w:t>
            </w:r>
          </w:p>
        </w:tc>
        <w:tc>
          <w:tcPr/>
          <w:p>
            <w:pPr>
              <w:pStyle w:val="Compact"/>
            </w:pPr>
            <w:r>
              <w:t xml:space="preserve">0.667 · s’_sbert(d) + 0.333 · s’_meta(d)</w:t>
            </w:r>
          </w:p>
        </w:tc>
      </w:tr>
      <w:tr>
        <w:tc>
          <w:tcPr/>
          <w:p>
            <w:pPr>
              <w:pStyle w:val="Compact"/>
            </w:pPr>
            <w:r>
              <w:t xml:space="preserve">TF-IDF + S-BERT + Metadata</w:t>
            </w:r>
          </w:p>
        </w:tc>
        <w:tc>
          <w:tcPr/>
          <w:p>
            <w:pPr>
              <w:pStyle w:val="Compact"/>
            </w:pPr>
            <w:r>
              <w:t xml:space="preserve">(0.400, 0.400, 0.200)</w:t>
            </w:r>
          </w:p>
        </w:tc>
        <w:tc>
          <w:tcPr/>
          <w:p>
            <w:pPr>
              <w:pStyle w:val="Compact"/>
            </w:pPr>
            <w:r>
              <w:t xml:space="preserve">0.400 · s’_tfidf(d) + 0.400 · s’_sbert(d) + 0.200 · s’_meta(d)</w:t>
            </w:r>
          </w:p>
        </w:tc>
      </w:tr>
    </w:tbl>
    <w:p>
      <w:pPr>
        <w:pStyle w:val="BodyText"/>
      </w:pPr>
      <w:r>
        <w:t xml:space="preserve">A seventh</w:t>
      </w:r>
      <w:r>
        <w:t xml:space="preserve"> </w:t>
      </w:r>
      <w:r>
        <w:t xml:space="preserve">“custom”</w:t>
      </w:r>
      <w:r>
        <w:t xml:space="preserve"> </w:t>
      </w:r>
      <w:r>
        <w:t xml:space="preserve">pipeline lets the user set the three dials; the backend normalizes the dial values so the weights sum to 1:</w:t>
      </w:r>
    </w:p>
    <w:p>
      <w:pPr>
        <w:pStyle w:val="SourceCode"/>
      </w:pPr>
      <w:r>
        <w:rPr>
          <w:rStyle w:val="VerbatimChar"/>
        </w:rPr>
        <w:t xml:space="preserve">  w_i = dial_i / ( dial_tfidf + dial_sbert + dial_meta )</w:t>
      </w:r>
    </w:p>
    <w:bookmarkEnd w:id="409"/>
    <w:bookmarkStart w:id="410" w:name="b.7-ranking-and-output"/>
    <w:p>
      <w:pPr>
        <w:pStyle w:val="Heading3"/>
      </w:pPr>
      <w:r>
        <w:t xml:space="preserve">B.7 Ranking and Output</w:t>
      </w:r>
    </w:p>
    <w:p>
      <w:pPr>
        <w:pStyle w:val="FirstParagraph"/>
      </w:pPr>
      <w:r>
        <w:t xml:space="preserve">Candidates are sorted by the final score descending, with ties broken by the newer publication year first and then by title alphabetically; only papers with a score greater than 0 are returned, limited to top_k.</w:t>
      </w:r>
    </w:p>
    <w:p>
      <w:pPr>
        <w:pStyle w:val="SourceCode"/>
      </w:pPr>
      <w:r>
        <w:rPr>
          <w:rStyle w:val="VerbatimChar"/>
        </w:rPr>
        <w:t xml:space="preserve">  R = [ d in D : S(d) &gt; 0 ],  |R| = top_k</w:t>
      </w:r>
    </w:p>
    <w:p>
      <w:pPr>
        <w:pStyle w:val="FirstParagraph"/>
      </w:pPr>
      <w:r>
        <w:t xml:space="preserve">Each returned item also carries the three weighted component contributions that produced its score, one per signal, so the interface can display the breakdown without recomputing it.</w:t>
      </w:r>
    </w:p>
    <w:bookmarkEnd w:id="410"/>
    <w:bookmarkStart w:id="411" w:name="b.8-the-similar-papers-graph"/>
    <w:p>
      <w:pPr>
        <w:pStyle w:val="Heading3"/>
      </w:pPr>
      <w:r>
        <w:t xml:space="preserve">B.8 The Similar-Papers Graph</w:t>
      </w:r>
    </w:p>
    <w:p>
      <w:pPr>
        <w:pStyle w:val="FirstParagraph"/>
      </w:pPr>
      <w:r>
        <w:t xml:space="preserve">The similar-papers graph (</w:t>
      </w:r>
      <w:r>
        <w:rPr>
          <w:rStyle w:val="VerbatimChar"/>
        </w:rPr>
        <w:t xml:space="preserve">GET /api/papers/{paper_id}/similar-graph</w:t>
      </w:r>
      <w:r>
        <w:t xml:space="preserve">) follows the Connected Papers model: an origin paper as the graph center, its top-k recommendations as the surrounding nodes, weighted edges between graph papers, and shortest weighted paths back to the origin. The graph always uses the selected pipeline’s own components for its edge weights, so the graph can never disagree with the pipeline that chose its node set.</w:t>
      </w:r>
    </w:p>
    <w:p>
      <w:pPr>
        <w:pStyle w:val="BodyText"/>
      </w:pPr>
      <w:r>
        <w:rPr>
          <w:b/>
          <w:bCs/>
        </w:rPr>
        <w:t xml:space="preserve">Node set.</w:t>
      </w:r>
      <w:r>
        <w:t xml:space="preserve"> </w:t>
      </w:r>
      <w:r>
        <w:t xml:space="preserve">The origin is the selected paper; the remaining nodes are the top_k results of running the selected pipeline (default: the full hybrid</w:t>
      </w:r>
      <w:r>
        <w:t xml:space="preserve"> </w:t>
      </w:r>
      <w:r>
        <w:rPr>
          <w:rStyle w:val="VerbatimChar"/>
        </w:rPr>
        <w:t xml:space="preserve">tfidf_sbert_metadata</w:t>
      </w:r>
      <w:r>
        <w:t xml:space="preserve">) with the selected paper as the seed.</w:t>
      </w:r>
    </w:p>
    <w:p>
      <w:pPr>
        <w:pStyle w:val="BodyText"/>
      </w:pPr>
      <w:r>
        <w:rPr>
          <w:b/>
          <w:bCs/>
        </w:rPr>
        <w:t xml:space="preserve">Edge weight.</w:t>
      </w:r>
      <w:r>
        <w:t xml:space="preserve"> </w:t>
      </w:r>
      <w:r>
        <w:t xml:space="preserve">For every pair of graph papers (a, b), the edge weight blends the pipeline’s raw component similarities with an author-overlap bonus and a citation-relatedness bonus (Section B.13):</w:t>
      </w:r>
    </w:p>
    <w:p>
      <w:pPr>
        <w:pStyle w:val="SourceCode"/>
      </w:pPr>
      <w:r>
        <w:rPr>
          <w:rStyle w:val="VerbatimChar"/>
        </w:rPr>
        <w:t xml:space="preserve">  w(a,b) = w_tfidf * cos( v_tfidf(a), v_tfidf(b) )</w:t>
      </w:r>
      <w:r>
        <w:br/>
      </w:r>
      <w:r>
        <w:rPr>
          <w:rStyle w:val="VerbatimChar"/>
        </w:rPr>
        <w:t xml:space="preserve">         + w_sbert * cos( e_sbert(a), e_sbert(b) )</w:t>
      </w:r>
      <w:r>
        <w:br/>
      </w:r>
      <w:r>
        <w:rPr>
          <w:rStyle w:val="VerbatimChar"/>
        </w:rPr>
        <w:t xml:space="preserve">         + w_meta  * meta(a, b)</w:t>
      </w:r>
      <w:r>
        <w:br/>
      </w:r>
      <w:r>
        <w:rPr>
          <w:rStyle w:val="VerbatimChar"/>
        </w:rPr>
        <w:t xml:space="preserve">         + 0.15    * J( authors(a), authors(b) )</w:t>
      </w:r>
      <w:r>
        <w:br/>
      </w:r>
      <w:r>
        <w:rPr>
          <w:rStyle w:val="VerbatimChar"/>
        </w:rPr>
        <w:t xml:space="preserve">         + 0.25    * sim_cit(a, b)</w:t>
      </w:r>
      <w:r>
        <w:br/>
      </w:r>
      <w:r>
        <w:br/>
      </w:r>
      <w:r>
        <w:rPr>
          <w:rStyle w:val="VerbatimChar"/>
        </w:rPr>
        <w:t xml:space="preserve">  meta(a, b) = 0.25 * s_title(a, b)</w:t>
      </w:r>
      <w:r>
        <w:br/>
      </w:r>
      <w:r>
        <w:rPr>
          <w:rStyle w:val="VerbatimChar"/>
        </w:rPr>
        <w:t xml:space="preserve">             + 0.25 * s_abstract(a, b)</w:t>
      </w:r>
      <w:r>
        <w:br/>
      </w:r>
      <w:r>
        <w:rPr>
          <w:rStyle w:val="VerbatimChar"/>
        </w:rPr>
        <w:t xml:space="preserve">             + 0.25 * s_keywords(a, b)</w:t>
      </w:r>
      <w:r>
        <w:br/>
      </w:r>
      <w:r>
        <w:rPr>
          <w:rStyle w:val="VerbatimChar"/>
        </w:rPr>
        <w:t xml:space="preserve">             + 0.25 * s_year(a, b)        (same formula as B.4)</w:t>
      </w:r>
      <w:r>
        <w:br/>
      </w:r>
      <w:r>
        <w:br/>
      </w:r>
      <w:r>
        <w:rPr>
          <w:rStyle w:val="VerbatimChar"/>
        </w:rPr>
        <w:t xml:space="preserve">  J = Jaccard similarity over the papers' author last names</w:t>
      </w:r>
      <w:r>
        <w:br/>
      </w:r>
      <w:r>
        <w:rPr>
          <w:rStyle w:val="VerbatimChar"/>
        </w:rPr>
        <w:t xml:space="preserve">      (lowercased); 0 if either paper has no authors</w:t>
      </w:r>
      <w:r>
        <w:br/>
      </w:r>
      <w:r>
        <w:br/>
      </w:r>
      <w:r>
        <w:rPr>
          <w:rStyle w:val="VerbatimChar"/>
        </w:rPr>
        <w:t xml:space="preserve">  sim_cit(a, b) = citation-relatedness score of Section B.13;</w:t>
      </w:r>
      <w:r>
        <w:br/>
      </w:r>
      <w:r>
        <w:rPr>
          <w:rStyle w:val="VerbatimChar"/>
        </w:rPr>
        <w:t xml:space="preserve">      0 when either paper has no cached citation rows</w:t>
      </w:r>
      <w:r>
        <w:br/>
      </w:r>
      <w:r>
        <w:br/>
      </w:r>
      <w:r>
        <w:rPr>
          <w:rStyle w:val="VerbatimChar"/>
        </w:rPr>
        <w:t xml:space="preserve">  w(a,b) is clamped to [0, 1]; a missing stored vector</w:t>
      </w:r>
      <w:r>
        <w:br/>
      </w:r>
      <w:r>
        <w:rPr>
          <w:rStyle w:val="VerbatimChar"/>
        </w:rPr>
        <w:t xml:space="preserve">  contributes 0.</w:t>
      </w:r>
    </w:p>
    <w:p>
      <w:pPr>
        <w:pStyle w:val="FirstParagraph"/>
      </w:pPr>
      <w:r>
        <w:t xml:space="preserve">Unlike the request-time ranking (Section B.5), the graph edges use the raw component similarities without min-max normalization, and the metadata term uses the full four-signal score of Section B.4.</w:t>
      </w:r>
    </w:p>
    <w:p>
      <w:pPr>
        <w:pStyle w:val="BodyText"/>
      </w:pPr>
      <w:r>
        <w:rPr>
          <w:b/>
          <w:bCs/>
        </w:rPr>
        <w:t xml:space="preserve">Edge filtering.</w:t>
      </w:r>
      <w:r>
        <w:t xml:space="preserve"> </w:t>
      </w:r>
      <w:r>
        <w:t xml:space="preserve">Every origin-to-node edge is always drawn (the origin star guarantees the graph is connected); any other pair is drawn only when its weight is at least the minimum edge weight of 0.15.</w:t>
      </w:r>
    </w:p>
    <w:p>
      <w:pPr>
        <w:pStyle w:val="BodyText"/>
      </w:pPr>
      <w:r>
        <w:rPr>
          <w:b/>
          <w:bCs/>
        </w:rPr>
        <w:t xml:space="preserve">Shortest paths.</w:t>
      </w:r>
      <w:r>
        <w:t xml:space="preserve"> </w:t>
      </w:r>
      <w:r>
        <w:t xml:space="preserve">Dijkstra’s algorithm runs from the origin with the hop cost of an edge defined as (1 − w), so a high-similarity edge is a short hop; ties break by the smaller paper id, which makes the output deterministic. Each similar-paper node carries the shortest weighted path back to the origin and its total length.</w:t>
      </w:r>
    </w:p>
    <w:p>
      <w:pPr>
        <w:pStyle w:val="BodyText"/>
      </w:pPr>
      <w:r>
        <w:rPr>
          <w:b/>
          <w:bCs/>
        </w:rPr>
        <w:t xml:space="preserve">Shared groups.</w:t>
      </w:r>
      <w:r>
        <w:t xml:space="preserve"> </w:t>
      </w:r>
      <w:r>
        <w:t xml:space="preserve">The graph reports authors shared by at least two graph papers, topics (keyword tokens and subject/category parts) shared by at least two papers, and the citation groups of Section B.13: references and citers shared by at least two graph papers, cached from OpenAlex. The citation groups realize the Connected Papers common-reference and common-citation measures directly; the topic groups remain available as a fallback for papers whose citation neighbourhood has not been refreshed, which is why both are reported.</w:t>
      </w:r>
    </w:p>
    <w:bookmarkEnd w:id="411"/>
    <w:bookmarkStart w:id="412" w:name="b.9-bm25-ranked-repository-search"/>
    <w:p>
      <w:pPr>
        <w:pStyle w:val="Heading3"/>
      </w:pPr>
      <w:r>
        <w:t xml:space="preserve">B.9 BM25 Ranked Repository Search</w:t>
      </w:r>
    </w:p>
    <w:p>
      <w:pPr>
        <w:pStyle w:val="FirstParagraph"/>
      </w:pPr>
      <w:r>
        <w:t xml:space="preserve">The repository browse view offers a relevance ordering backed by SQLite’s FTS5 extension (Robertson &amp; Zaragoza, 2009). An external-content full-text index is kept synchronized with the papers table by three triggers and covers four columns: title, author, keywords, and abstract. User text is sanitized into quoted tokens joined by AND, and the final token is treated as a prefix, so an unfinished word still matches; a query with no usable token returns no rows. FTS5 ranks matches with its built-in bm25() function, whose defaults k1 = 1.2 and b = 0.75 are used unchanged, and the prototype weights the four columns title 10, author 5, keywords 5, abstract 1:</w:t>
      </w:r>
    </w:p>
    <w:p>
      <w:pPr>
        <w:pStyle w:val="SourceCode"/>
      </w:pPr>
      <w:r>
        <w:rPr>
          <w:rStyle w:val="VerbatimChar"/>
        </w:rPr>
        <w:t xml:space="preserve">  rank(d) = sum over query terms t of weight_col(t) * BM25(t, d)</w:t>
      </w:r>
      <w:r>
        <w:br/>
      </w:r>
      <w:r>
        <w:br/>
      </w:r>
      <w:r>
        <w:rPr>
          <w:rStyle w:val="VerbatimChar"/>
        </w:rPr>
        <w:t xml:space="preserve">  BM25(t, d) = IDF(t) * ( f(t,d) * (k1 + 1) )</w:t>
      </w:r>
      <w:r>
        <w:br/>
      </w:r>
      <w:r>
        <w:rPr>
          <w:rStyle w:val="VerbatimChar"/>
        </w:rPr>
        <w:t xml:space="preserve">             / ( f(t,d) + k1 * ( 1 - b + b * len(d) / avg_len ) )</w:t>
      </w:r>
      <w:r>
        <w:br/>
      </w:r>
      <w:r>
        <w:br/>
      </w:r>
      <w:r>
        <w:rPr>
          <w:rStyle w:val="VerbatimChar"/>
        </w:rPr>
        <w:t xml:space="preserve">  weight_col = ( title 10, author 5, keywords 5, abstract 1 )</w:t>
      </w:r>
      <w:r>
        <w:br/>
      </w:r>
      <w:r>
        <w:rPr>
          <w:rStyle w:val="VerbatimChar"/>
        </w:rPr>
        <w:t xml:space="preserve">  IDF(t) and the defaults k1 = 1.2 and b = 0.75 come from FTS5's</w:t>
      </w:r>
      <w:r>
        <w:br/>
      </w:r>
      <w:r>
        <w:rPr>
          <w:rStyle w:val="VerbatimChar"/>
        </w:rPr>
        <w:t xml:space="preserve">  built-in bm25(); FTS5 returns the negated score, so ascending</w:t>
      </w:r>
      <w:r>
        <w:br/>
      </w:r>
      <w:r>
        <w:rPr>
          <w:rStyle w:val="VerbatimChar"/>
        </w:rPr>
        <w:t xml:space="preserve">  order is best-first</w:t>
      </w:r>
      <w:r>
        <w:br/>
      </w:r>
      <w:r>
        <w:br/>
      </w:r>
      <w:r>
        <w:rPr>
          <w:rStyle w:val="VerbatimChar"/>
        </w:rPr>
        <w:t xml:space="preserve">  a result carries a snippet around the best-matching column;</w:t>
      </w:r>
      <w:r>
        <w:br/>
      </w:r>
      <w:r>
        <w:rPr>
          <w:rStyle w:val="VerbatimChar"/>
        </w:rPr>
        <w:t xml:space="preserve">  if FTS5 is unavailable the same request falls back to the</w:t>
      </w:r>
      <w:r>
        <w:br/>
      </w:r>
      <w:r>
        <w:rPr>
          <w:rStyle w:val="VerbatimChar"/>
        </w:rPr>
        <w:t xml:space="preserve">  case-insensitive substring query used by the unranked orderings</w:t>
      </w:r>
    </w:p>
    <w:p>
      <w:pPr>
        <w:pStyle w:val="FirstParagraph"/>
      </w:pPr>
      <w:r>
        <w:t xml:space="preserve">Because the corpus accumulated duplicate records before the import</w:t>
      </w:r>
      <w:r>
        <w:t xml:space="preserve"> </w:t>
      </w:r>
      <w:r>
        <w:t xml:space="preserve">checks existed, the ranked list collapses them: two hits are treated</w:t>
      </w:r>
      <w:r>
        <w:t xml:space="preserve"> </w:t>
      </w:r>
      <w:r>
        <w:t xml:space="preserve">as the same work when their normalized DOIs match, when their</w:t>
      </w:r>
      <w:r>
        <w:t xml:space="preserve"> </w:t>
      </w:r>
      <w:r>
        <w:t xml:space="preserve">normalized titles are exactly equal, or when both titles are at least</w:t>
      </w:r>
      <w:r>
        <w:t xml:space="preserve"> </w:t>
      </w:r>
      <w:r>
        <w:t xml:space="preserve">twelve characters long and their title similarity reaches 0.85 (the</w:t>
      </w:r>
      <w:r>
        <w:t xml:space="preserve"> </w:t>
      </w:r>
      <w:r>
        <w:t xml:space="preserve">threshold the import path rejects re-imports with). The best-ranked</w:t>
      </w:r>
      <w:r>
        <w:t xml:space="preserve"> </w:t>
      </w:r>
      <w:r>
        <w:t xml:space="preserve">copy survives and carries a count of the copies it hid; the</w:t>
      </w:r>
      <w:r>
        <w:t xml:space="preserve"> </w:t>
      </w:r>
      <w:r>
        <w:t xml:space="preserve">twelve-character floor keeps short or garbled extraction titles from</w:t>
      </w:r>
      <w:r>
        <w:t xml:space="preserve"> </w:t>
      </w:r>
      <w:r>
        <w:t xml:space="preserve">creating false merges.</w:t>
      </w:r>
    </w:p>
    <w:bookmarkEnd w:id="412"/>
    <w:bookmarkStart w:id="413" w:name="b.10-precomputed-vector-matrices"/>
    <w:p>
      <w:pPr>
        <w:pStyle w:val="Heading3"/>
      </w:pPr>
      <w:r>
        <w:t xml:space="preserve">B.10 Precomputed Vector Matrices</w:t>
      </w:r>
    </w:p>
    <w:p>
      <w:pPr>
        <w:pStyle w:val="FirstParagraph"/>
      </w:pPr>
      <w:r>
        <w:t xml:space="preserve">The rebuild materializes the per-paper TF-IDF and S-BERT vectors a second time as dense float32 matrices, with one L2-normalized row per paper, a parallel sorted paper-id vector, and a metadata sidecar (build time, counts, dimensions, model name). At request time each component score is one matrix-vector product, so per-row JSON parsing disappears from the request path. Any gap (a candidate missing from the matrix, a dimension mismatch, a stale sidecar) makes the component fall back to the per-paper loop, and the two paths return identical cosines; the test suite asserts parity within 1e-6.</w:t>
      </w:r>
    </w:p>
    <w:p>
      <w:pPr>
        <w:pStyle w:val="SourceCode"/>
      </w:pPr>
      <w:r>
        <w:rPr>
          <w:rStyle w:val="VerbatimChar"/>
        </w:rPr>
        <w:t xml:space="preserve">  M in R^(n x d);  row_i = v(d_i) / ||v(d_i)||_2</w:t>
      </w:r>
      <w:r>
        <w:br/>
      </w:r>
      <w:r>
        <w:rPr>
          <w:rStyle w:val="VerbatimChar"/>
        </w:rPr>
        <w:t xml:space="preserve">                   row_i = 0 if ||v(d_i)||_2 = 0</w:t>
      </w:r>
      <w:r>
        <w:br/>
      </w:r>
      <w:r>
        <w:rPr>
          <w:rStyle w:val="VerbatimChar"/>
        </w:rPr>
        <w:t xml:space="preserve">  q_hat = q / ||q||_2</w:t>
      </w:r>
      <w:r>
        <w:br/>
      </w:r>
      <w:r>
        <w:br/>
      </w:r>
      <w:r>
        <w:rPr>
          <w:rStyle w:val="VerbatimChar"/>
        </w:rPr>
        <w:t xml:space="preserve">  s(d_i) = ( M * q_hat )_i</w:t>
      </w:r>
      <w:r>
        <w:br/>
      </w:r>
      <w:r>
        <w:br/>
      </w:r>
      <w:r>
        <w:rPr>
          <w:rStyle w:val="VerbatimChar"/>
        </w:rPr>
        <w:t xml:space="preserve">  fall back to per-paper cosine when d_i is not covered by the</w:t>
      </w:r>
      <w:r>
        <w:br/>
      </w:r>
      <w:r>
        <w:rPr>
          <w:rStyle w:val="VerbatimChar"/>
        </w:rPr>
        <w:t xml:space="preserve">  index or when any index metadata check fails</w:t>
      </w:r>
    </w:p>
    <w:bookmarkEnd w:id="413"/>
    <w:bookmarkStart w:id="414" w:name="b.11-mmr-diversification"/>
    <w:p>
      <w:pPr>
        <w:pStyle w:val="Heading3"/>
      </w:pPr>
      <w:r>
        <w:t xml:space="preserve">B.11 MMR Diversification</w:t>
      </w:r>
    </w:p>
    <w:p>
      <w:pPr>
        <w:pStyle w:val="FirstParagraph"/>
      </w:pPr>
      <w:r>
        <w:t xml:space="preserve">Result diversification is opt-in. When a query supplies an MMR parameter lambda in [0, 1], the top pool of positive-score results is reranked by maximal marginal relevance (Carbonell &amp; Goldstein, 1998) before truncation; the scores themselves are never recomputed, so the reranker changes order only, and the default behavior (lambda absent) is untouched.</w:t>
      </w:r>
    </w:p>
    <w:p>
      <w:pPr>
        <w:pStyle w:val="SourceCode"/>
      </w:pPr>
      <w:r>
        <w:rPr>
          <w:rStyle w:val="VerbatimChar"/>
        </w:rPr>
        <w:t xml:space="preserve">  C = the first `pool` positive-score results, in score order</w:t>
      </w:r>
      <w:r>
        <w:br/>
      </w:r>
      <w:r>
        <w:rPr>
          <w:rStyle w:val="VerbatimChar"/>
        </w:rPr>
        <w:t xml:space="preserve">  S = [] ; first pick = argmax score in C</w:t>
      </w:r>
      <w:r>
        <w:br/>
      </w:r>
      <w:r>
        <w:rPr>
          <w:rStyle w:val="VerbatimChar"/>
        </w:rPr>
        <w:t xml:space="preserve">  then repeatedly:</w:t>
      </w:r>
      <w:r>
        <w:br/>
      </w:r>
      <w:r>
        <w:rPr>
          <w:rStyle w:val="VerbatimChar"/>
        </w:rPr>
        <w:t xml:space="preserve">    pick argmax over d in C \ S of</w:t>
      </w:r>
      <w:r>
        <w:br/>
      </w:r>
      <w:r>
        <w:rPr>
          <w:rStyle w:val="VerbatimChar"/>
        </w:rPr>
        <w:t xml:space="preserve">      lambda * score(d) - (1 - lambda) * max over j in S of sim(d, j)</w:t>
      </w:r>
      <w:r>
        <w:br/>
      </w:r>
      <w:r>
        <w:br/>
      </w:r>
      <w:r>
        <w:rPr>
          <w:rStyle w:val="VerbatimChar"/>
        </w:rPr>
        <w:t xml:space="preserve">  sim from S-BERT vectors when at least two pool papers have</w:t>
      </w:r>
      <w:r>
        <w:br/>
      </w:r>
      <w:r>
        <w:rPr>
          <w:rStyle w:val="VerbatimChar"/>
        </w:rPr>
        <w:t xml:space="preserve">  them, else from TF-IDF vectors, else constant 1 (no diversity</w:t>
      </w:r>
      <w:r>
        <w:br/>
      </w:r>
      <w:r>
        <w:rPr>
          <w:rStyle w:val="VerbatimChar"/>
        </w:rPr>
        <w:t xml:space="preserve">  signal); ties break by higher score, then lower paper id</w:t>
      </w:r>
      <w:r>
        <w:br/>
      </w:r>
      <w:r>
        <w:br/>
      </w:r>
      <w:r>
        <w:rPr>
          <w:rStyle w:val="VerbatimChar"/>
        </w:rPr>
        <w:t xml:space="preserve">  lambda in [0, 1]; pool in [1, 100]; remaining results are</w:t>
      </w:r>
      <w:r>
        <w:br/>
      </w:r>
      <w:r>
        <w:rPr>
          <w:rStyle w:val="VerbatimChar"/>
        </w:rPr>
        <w:t xml:space="preserve">  appended in score order after the reranked pool</w:t>
      </w:r>
    </w:p>
    <w:bookmarkEnd w:id="414"/>
    <w:bookmarkStart w:id="415" w:name="X7c97d4882fa5fcea6c3c0baeadf8ddc32e93cb1"/>
    <w:p>
      <w:pPr>
        <w:pStyle w:val="Heading3"/>
      </w:pPr>
      <w:r>
        <w:t xml:space="preserve">B.12 Learned Fusion Weights (Offline Instrument)</w:t>
      </w:r>
    </w:p>
    <w:p>
      <w:pPr>
        <w:pStyle w:val="FirstParagraph"/>
      </w:pPr>
      <w:r>
        <w:t xml:space="preserve">A deterministic offline learner searches the fusion simplex for the weight vector that maximizes a chosen ranking metric on a relevance-judgment file (Section B.14). The search is coarse-to-fine: a grid of step 0.1 over the three components, then a step-0.05 refinement around the coarse winner; the preset 0.4/0.4/0.2 baseline is evaluated alongside. The result is persisted as JSON and can be loaded into the custom dials; the deployed six presets remain fixed and transparent, so the learner is a research instrument, not a runtime component.</w:t>
      </w:r>
    </w:p>
    <w:p>
      <w:pPr>
        <w:pStyle w:val="SourceCode"/>
      </w:pPr>
      <w:r>
        <w:rPr>
          <w:rStyle w:val="VerbatimChar"/>
        </w:rPr>
        <w:t xml:space="preserve">  w* = argmax over w in Delta of  (1 / |Q|) * sum over q in Q</w:t>
      </w:r>
      <w:r>
        <w:br/>
      </w:r>
      <w:r>
        <w:rPr>
          <w:rStyle w:val="VerbatimChar"/>
        </w:rPr>
        <w:t xml:space="preserve">       of NDCG@k(w, q)</w:t>
      </w:r>
      <w:r>
        <w:br/>
      </w:r>
      <w:r>
        <w:br/>
      </w:r>
      <w:r>
        <w:rPr>
          <w:rStyle w:val="VerbatimChar"/>
        </w:rPr>
        <w:t xml:space="preserve">  Delta = { (w_tfidf, w_sbert, w_meta) :</w:t>
      </w:r>
      <w:r>
        <w:br/>
      </w:r>
      <w:r>
        <w:rPr>
          <w:rStyle w:val="VerbatimChar"/>
        </w:rPr>
        <w:t xml:space="preserve">            w_i &gt;= 0 and w_tfidf + w_sbert + w_meta = 1 }</w:t>
      </w:r>
      <w:r>
        <w:br/>
      </w:r>
      <w:r>
        <w:rPr>
          <w:rStyle w:val="VerbatimChar"/>
        </w:rPr>
        <w:t xml:space="preserve">  w_i restricted to multiples of the step, coarse 0.1 then</w:t>
      </w:r>
      <w:r>
        <w:br/>
      </w:r>
      <w:r>
        <w:rPr>
          <w:rStyle w:val="VerbatimChar"/>
        </w:rPr>
        <w:t xml:space="preserve">  refine 0.05 within +/- 0.1 of the coarse winner</w:t>
      </w:r>
    </w:p>
    <w:bookmarkEnd w:id="415"/>
    <w:bookmarkStart w:id="416" w:name="b.13-citation-based-relatedness"/>
    <w:p>
      <w:pPr>
        <w:pStyle w:val="Heading3"/>
      </w:pPr>
      <w:r>
        <w:t xml:space="preserve">B.13 Citation-Based Relatedness</w:t>
      </w:r>
    </w:p>
    <w:p>
      <w:pPr>
        <w:pStyle w:val="FirstParagraph"/>
      </w:pPr>
      <w:r>
        <w:t xml:space="preserve">The prototype caches each refreshed paper’s OpenAlex citation neighbourhood in the paper_citations table: references the paper cites and works that cite it (Kessler, 1963; Small, 1973). Each cached work contributes a key that is</w:t>
      </w:r>
      <w:r>
        <w:t xml:space="preserve"> </w:t>
      </w:r>
      <w:r>
        <w:rPr>
          <w:rStyle w:val="VerbatimChar"/>
        </w:rPr>
        <w:t xml:space="preserve">local:&lt;paper_id&gt;</w:t>
      </w:r>
      <w:r>
        <w:t xml:space="preserve"> </w:t>
      </w:r>
      <w:r>
        <w:t xml:space="preserve">when its DOI matches a local paper and otherwise the OpenAlex work id, so two papers couple through shared references or shared citers whether or not the external work itself is in the repository. The graph uses the combined score as the citation bonus of Section B.8 and reports shared reference and citer groups. With no cached rows the score is exactly 0, so an unrefreshed repository scores as before.</w:t>
      </w:r>
    </w:p>
    <w:p>
      <w:pPr>
        <w:pStyle w:val="SourceCode"/>
      </w:pPr>
      <w:r>
        <w:rPr>
          <w:rStyle w:val="VerbatimChar"/>
        </w:rPr>
        <w:t xml:space="preserve">  R(d), C(d) = cached reference and citer key sets of paper d</w:t>
      </w:r>
      <w:r>
        <w:br/>
      </w:r>
      <w:r>
        <w:br/>
      </w:r>
      <w:r>
        <w:rPr>
          <w:rStyle w:val="VerbatimChar"/>
        </w:rPr>
        <w:t xml:space="preserve">  coupling(a,b)    = |R(a) ∩ R(b)| / max(1, min(|R(a)|, |R(b)|))</w:t>
      </w:r>
      <w:r>
        <w:br/>
      </w:r>
      <w:r>
        <w:rPr>
          <w:rStyle w:val="VerbatimChar"/>
        </w:rPr>
        <w:t xml:space="preserve">  co-citation(a,b) = |C(a) ∩ C(b)| / max(1, min(|C(a)|, |C(b)|))</w:t>
      </w:r>
      <w:r>
        <w:br/>
      </w:r>
      <w:r>
        <w:br/>
      </w:r>
      <w:r>
        <w:rPr>
          <w:rStyle w:val="VerbatimChar"/>
        </w:rPr>
        <w:t xml:space="preserve">  sim_cit(a,b) = 0.5 * coupling(a,b) + 0.5 * co-citation(a,b)</w:t>
      </w:r>
      <w:r>
        <w:br/>
      </w:r>
      <w:r>
        <w:rPr>
          <w:rStyle w:val="VerbatimChar"/>
        </w:rPr>
        <w:t xml:space="preserve">                 clamped to [0, 1]; 0 if either side has no rows</w:t>
      </w:r>
      <w:r>
        <w:br/>
      </w:r>
      <w:r>
        <w:br/>
      </w:r>
      <w:r>
        <w:rPr>
          <w:rStyle w:val="VerbatimChar"/>
        </w:rPr>
        <w:t xml:space="preserve">  graph edge bonus: + 0.25 * sim_cit(a,b)   (Section B.8)</w:t>
      </w:r>
    </w:p>
    <w:bookmarkEnd w:id="416"/>
    <w:bookmarkStart w:id="417" w:name="b.14-offline-retrieval-metrics"/>
    <w:p>
      <w:pPr>
        <w:pStyle w:val="Heading3"/>
      </w:pPr>
      <w:r>
        <w:t xml:space="preserve">B.14 Offline Retrieval Metrics</w:t>
      </w:r>
    </w:p>
    <w:p>
      <w:pPr>
        <w:pStyle w:val="FirstParagraph"/>
      </w:pPr>
      <w:r>
        <w:t xml:space="preserve">The evaluation harness scores a ranked list against a relevance-judgment (qrels) file, in which each query carries the papers judged relevant and an optional integer gain per paper. The metrics are computed per query and macro-averaged across queries (Manning et al., 2008; Järvelin &amp; Kekäläinen, 2002). Documented conventions: an empty ranked list or a query with no judged-relevant paper scores 0 on every metric; a duplicate id in the ranked list is counted once at its first occurrence; precision divides by k even when fewer than k results exist.</w:t>
      </w:r>
    </w:p>
    <w:p>
      <w:pPr>
        <w:pStyle w:val="SourceCode"/>
      </w:pPr>
      <w:r>
        <w:rPr>
          <w:rStyle w:val="VerbatimChar"/>
        </w:rPr>
        <w:t xml:space="preserve">  rel(q) = judged-relevant papers; g(d) = integer gain of d</w:t>
      </w:r>
      <w:r>
        <w:br/>
      </w:r>
      <w:r>
        <w:br/>
      </w:r>
      <w:r>
        <w:rPr>
          <w:rStyle w:val="VerbatimChar"/>
        </w:rPr>
        <w:t xml:space="preserve">  P@k    = | top_k(q) ∩ rel(q) | / k</w:t>
      </w:r>
      <w:r>
        <w:br/>
      </w:r>
      <w:r>
        <w:rPr>
          <w:rStyle w:val="VerbatimChar"/>
        </w:rPr>
        <w:t xml:space="preserve">  R@k    = | top_k(q) ∩ rel(q) | / | rel(q) |</w:t>
      </w:r>
      <w:r>
        <w:br/>
      </w:r>
      <w:r>
        <w:rPr>
          <w:rStyle w:val="VerbatimChar"/>
        </w:rPr>
        <w:t xml:space="preserve">  MRR@k  = 1 / rank of the first relevant result</w:t>
      </w:r>
      <w:r>
        <w:br/>
      </w:r>
      <w:r>
        <w:rPr>
          <w:rStyle w:val="VerbatimChar"/>
        </w:rPr>
        <w:t xml:space="preserve">           (0 if none within k)</w:t>
      </w:r>
      <w:r>
        <w:br/>
      </w:r>
      <w:r>
        <w:rPr>
          <w:rStyle w:val="VerbatimChar"/>
        </w:rPr>
        <w:t xml:space="preserve">  AP@k   = ( 1 / | rel(q) | ) * sum over i &lt;= k of</w:t>
      </w:r>
      <w:r>
        <w:br/>
      </w:r>
      <w:r>
        <w:rPr>
          <w:rStyle w:val="VerbatimChar"/>
        </w:rPr>
        <w:t xml:space="preserve">           P@i * [ d_i is relevant ]</w:t>
      </w:r>
      <w:r>
        <w:br/>
      </w:r>
      <w:r>
        <w:rPr>
          <w:rStyle w:val="VerbatimChar"/>
        </w:rPr>
        <w:t xml:space="preserve">  MAP@k  = mean of AP@k across queries</w:t>
      </w:r>
      <w:r>
        <w:br/>
      </w:r>
      <w:r>
        <w:rPr>
          <w:rStyle w:val="VerbatimChar"/>
        </w:rPr>
        <w:t xml:space="preserve">  DCG@k  = sum over i &lt;= k of ( 2^g(d_i) - 1 ) / log2(1 + i)</w:t>
      </w:r>
      <w:r>
        <w:br/>
      </w:r>
      <w:r>
        <w:rPr>
          <w:rStyle w:val="VerbatimChar"/>
        </w:rPr>
        <w:t xml:space="preserve">  NDCG@k = DCG@k / IDCG@k</w:t>
      </w:r>
      <w:r>
        <w:br/>
      </w:r>
      <w:r>
        <w:rPr>
          <w:rStyle w:val="VerbatimChar"/>
        </w:rPr>
        <w:t xml:space="preserve">  IDCG@k = DCG of the gains sorted in descending order</w:t>
      </w:r>
    </w:p>
    <w:bookmarkEnd w:id="417"/>
    <w:bookmarkEnd w:id="418"/>
    <w:bookmarkStart w:id="419" w:name="references-appendix-b-additions"/>
    <w:p>
      <w:pPr>
        <w:pStyle w:val="Heading2"/>
      </w:pPr>
      <w:r>
        <w:t xml:space="preserve">References (Appendix B Additions)</w:t>
      </w:r>
    </w:p>
    <w:p>
      <w:pPr>
        <w:pStyle w:val="FirstParagraph"/>
      </w:pPr>
      <w:r>
        <w:t xml:space="preserve">Carbonell, J., &amp; Goldstein, J. (1998). The use of MMR, diversity-based reranking for reordering documents and producing summaries. In</w:t>
      </w:r>
      <w:r>
        <w:t xml:space="preserve"> </w:t>
      </w:r>
      <w:r>
        <w:rPr>
          <w:i/>
          <w:iCs/>
        </w:rPr>
        <w:t xml:space="preserve">Proceedings of the 21st Annual International ACM SIGIR Conference on Research and Development in Information Retrieval</w:t>
      </w:r>
      <w:r>
        <w:t xml:space="preserve"> </w:t>
      </w:r>
      <w:r>
        <w:t xml:space="preserve">(pp. 335–336). Association for Computing Machinery. https://doi.org/10.1145/290941.291025</w:t>
      </w:r>
    </w:p>
    <w:p>
      <w:pPr>
        <w:pStyle w:val="BodyText"/>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 https://doi.org/10.1145/582415.582418</w:t>
      </w:r>
    </w:p>
    <w:p>
      <w:pPr>
        <w:pStyle w:val="BodyText"/>
      </w:pPr>
      <w:r>
        <w:t xml:space="preserve">Kessler, M. M. (1963). Bibliographic coupling between scientific papers.</w:t>
      </w:r>
      <w:r>
        <w:t xml:space="preserve"> </w:t>
      </w:r>
      <w:r>
        <w:rPr>
          <w:i/>
          <w:iCs/>
        </w:rPr>
        <w:t xml:space="preserve">American Documentation</w:t>
      </w:r>
      <w:r>
        <w:t xml:space="preserve">,</w:t>
      </w:r>
      <w:r>
        <w:t xml:space="preserve"> </w:t>
      </w:r>
      <w:r>
        <w:rPr>
          <w:i/>
          <w:iCs/>
        </w:rPr>
        <w:t xml:space="preserve">14</w:t>
      </w:r>
      <w:r>
        <w:t xml:space="preserve">(1), 10–25. https://doi.org/10.1002/asi.5090140103</w:t>
      </w:r>
    </w:p>
    <w:p>
      <w:pPr>
        <w:pStyle w:val="BodyText"/>
      </w:pPr>
      <w:r>
        <w:t xml:space="preserve">Manning, C. D., Raghavan, P., &amp; Schütze, H. (2008).</w:t>
      </w:r>
      <w:r>
        <w:t xml:space="preserve"> </w:t>
      </w:r>
      <w:r>
        <w:rPr>
          <w:i/>
          <w:iCs/>
        </w:rPr>
        <w:t xml:space="preserve">Introduction to information retrieval</w:t>
      </w:r>
      <w:r>
        <w:t xml:space="preserve">. Cambridge University Press.</w:t>
      </w:r>
    </w:p>
    <w:p>
      <w:pPr>
        <w:pStyle w:val="BodyText"/>
      </w:pPr>
      <w:r>
        <w:t xml:space="preserve">Robertson, S., &amp; Zaragoza, H. (2009). The probabilistic relevance framework: BM25 and beyond.</w:t>
      </w:r>
      <w:r>
        <w:t xml:space="preserve"> </w:t>
      </w:r>
      <w:r>
        <w:rPr>
          <w:i/>
          <w:iCs/>
        </w:rPr>
        <w:t xml:space="preserve">Foundations and Trends in Information Retrieval</w:t>
      </w:r>
      <w:r>
        <w:t xml:space="preserve">,</w:t>
      </w:r>
      <w:r>
        <w:t xml:space="preserve"> </w:t>
      </w:r>
      <w:r>
        <w:rPr>
          <w:i/>
          <w:iCs/>
        </w:rPr>
        <w:t xml:space="preserve">3</w:t>
      </w:r>
      <w:r>
        <w:t xml:space="preserve">(4), 333–389. https://doi.org/10.1561/1500000019</w:t>
      </w:r>
    </w:p>
    <w:p>
      <w:pPr>
        <w:pStyle w:val="BodyText"/>
      </w:pPr>
      <w:r>
        <w:t xml:space="preserve">Small, H. (1973). Co-citation in the scientific literature: A new measure of the relationship between two documents.</w:t>
      </w:r>
      <w:r>
        <w:t xml:space="preserve"> </w:t>
      </w:r>
      <w:r>
        <w:rPr>
          <w:i/>
          <w:iCs/>
        </w:rPr>
        <w:t xml:space="preserve">Journal of the American Society for Information Science</w:t>
      </w:r>
      <w:r>
        <w:t xml:space="preserve">,</w:t>
      </w:r>
      <w:r>
        <w:t xml:space="preserve"> </w:t>
      </w:r>
      <w:r>
        <w:rPr>
          <w:i/>
          <w:iCs/>
        </w:rPr>
        <w:t xml:space="preserve">24</w:t>
      </w:r>
      <w:r>
        <w:t xml:space="preserve">(4), 265–269. https://doi.org/10.1002/asi.4630240406</w:t>
      </w:r>
    </w:p>
    <w:bookmarkEnd w:id="419"/>
    <w:bookmarkEnd w:id="420"/>
    <w:sectPr w:rsidR="00E75905" w:rsidRPr="00A11EA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A729EF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411"/>
    <w:multiLevelType w:val="multilevel"/>
    <w:tmpl w:val="AEEAB6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29781056" w:numId="1">
    <w:abstractNumId w:val="0"/>
  </w:num>
  <w:num w16cid:durableId="1966427911"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08971828"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765174"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4837817"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75905"/>
    <w:rsid w:val="00587E13"/>
    <w:rsid w:val="00A11EA4"/>
    <w:rsid w:val="00E7590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A11EA4"/>
    <w:pPr>
      <w:spacing w:after="100"/>
    </w:pPr>
  </w:style>
  <w:style w:styleId="TOC2" w:type="paragraph">
    <w:name w:val="toc 2"/>
    <w:basedOn w:val="Normal"/>
    <w:next w:val="Normal"/>
    <w:autoRedefine/>
    <w:uiPriority w:val="39"/>
    <w:rsid w:val="00A11EA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328" Target="numbering.xml" /><Relationship Type="http://schemas.openxmlformats.org/officeDocument/2006/relationships/styles" Id="rId327" Target="styles.xml" /><Relationship Type="http://schemas.openxmlformats.org/officeDocument/2006/relationships/settings" Id="rId326" Target="settings.xml" /><Relationship Type="http://schemas.openxmlformats.org/officeDocument/2006/relationships/webSettings" Id="rId325" Target="webSettings.xml" /><Relationship Type="http://schemas.openxmlformats.org/officeDocument/2006/relationships/fontTable" Id="rId324" Target="fontTable.xml" /><Relationship Type="http://schemas.openxmlformats.org/officeDocument/2006/relationships/theme" Id="rId323" Target="theme/theme1.xml" /><Relationship Type="http://schemas.openxmlformats.org/officeDocument/2006/relationships/footnotes" Id="rId322" Target="footnotes.xml" /><Relationship Type="http://schemas.openxmlformats.org/officeDocument/2006/relationships/comments" Id="rId321" Target="comments.xml"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38</Pages>
  <Words>10813</Words>
  <Characters>61640</Characters>
  <Application>Microsoft Office Word</Application>
  <DocSecurity>0</DocSecurity>
  <Lines>513</Lines>
  <Paragraphs>144</Paragraphs>
  <ScaleCrop>false</ScaleCrop>
  <Company/>
  <LinksUpToDate>false</LinksUpToDate>
  <CharactersWithSpaces>72309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2026-10-05T17:55:39Z</dcterms:created>
  <dcterms:modified xsi:type="dcterms:W3CDTF">2026-10-05T17:55:39Z</dcterms:modified>
</cp:coreProperties>
</file>

<file path=docProps/custom.xml><?xml version="1.0" encoding="utf-8"?>
<Properties xmlns="http://schemas.openxmlformats.org/officeDocument/2006/custom-properties" xmlns:vt="http://schemas.openxmlformats.org/officeDocument/2006/docPropsVTypes"/>
</file>