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TECHNICAL PROPOSAL</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Proposal No.</w:t>
            </w:r>
          </w:p>
        </w:tc>
        <w:tc>
          <w:tcPr>
            <w:tcW w:type="dxa" w:w="4320"/>
          </w:tcPr>
          <w:p>
            <w:pPr>
              <w:jc w:val="left"/>
            </w:pPr>
            <w:r>
              <w:rPr>
                <w:rFonts w:ascii="Calibri" w:hAnsi="Calibri"/>
              </w:rPr>
              <w:t>{{ proposal_no }}</w:t>
            </w:r>
          </w:p>
        </w:tc>
      </w:tr>
      <w:tr>
        <w:tc>
          <w:tcPr>
            <w:tcW w:type="dxa" w:w="4320"/>
          </w:tcPr>
          <w:p>
            <w:pPr>
              <w:jc w:val="left"/>
            </w:pPr>
            <w:r>
              <w:rPr>
                <w:rFonts w:ascii="Calibri" w:hAnsi="Calibri"/>
                <w:b/>
              </w:rPr>
              <w:t>Date</w:t>
            </w:r>
          </w:p>
        </w:tc>
        <w:tc>
          <w:tcPr>
            <w:tcW w:type="dxa" w:w="4320"/>
          </w:tcPr>
          <w:p>
            <w:pPr>
              <w:jc w:val="left"/>
            </w:pPr>
            <w:r>
              <w:rPr>
                <w:rFonts w:ascii="Calibri" w:hAnsi="Calibri"/>
              </w:rPr>
              <w:t>{{ proposal_date }}</w:t>
            </w:r>
          </w:p>
        </w:tc>
      </w:tr>
      <w:tr>
        <w:tc>
          <w:tcPr>
            <w:tcW w:type="dxa" w:w="4320"/>
          </w:tcPr>
          <w:p>
            <w:pPr>
              <w:jc w:val="left"/>
            </w:pPr>
            <w:r>
              <w:rPr>
                <w:rFonts w:ascii="Calibri" w:hAnsi="Calibri"/>
                <w:b/>
              </w:rPr>
              <w:t>Client</w:t>
            </w:r>
          </w:p>
        </w:tc>
        <w:tc>
          <w:tcPr>
            <w:tcW w:type="dxa" w:w="4320"/>
          </w:tcPr>
          <w:p>
            <w:pPr>
              <w:jc w:val="left"/>
            </w:pPr>
            <w:r>
              <w:rPr>
                <w:rFonts w:ascii="Calibri" w:hAnsi="Calibri"/>
              </w:rPr>
              <w:t>{{ client_name }}</w:t>
            </w:r>
          </w:p>
        </w:tc>
      </w:tr>
      <w:tr>
        <w:tc>
          <w:tcPr>
            <w:tcW w:type="dxa" w:w="4320"/>
          </w:tcPr>
          <w:p>
            <w:pPr>
              <w:jc w:val="left"/>
            </w:pPr>
            <w:r>
              <w:rPr>
                <w:rFonts w:ascii="Calibri" w:hAnsi="Calibri"/>
                <w:b/>
              </w:rPr>
              <w:t>Project</w:t>
            </w:r>
          </w:p>
        </w:tc>
        <w:tc>
          <w:tcPr>
            <w:tcW w:type="dxa" w:w="4320"/>
          </w:tcPr>
          <w:p>
            <w:pPr>
              <w:jc w:val="left"/>
            </w:pPr>
            <w:r>
              <w:rPr>
                <w:rFonts w:ascii="Calibri" w:hAnsi="Calibri"/>
              </w:rPr>
              <w:t>{{ project_title }}</w:t>
            </w:r>
          </w:p>
        </w:tc>
      </w:tr>
    </w:tbl>
    <w:p>
      <w:pPr>
        <w:spacing w:after="40"/>
        <w:sectPr w:rsidR="00FC693F" w:rsidRPr="0006063C" w:rsidSect="00034616">
          <w:headerReference w:type="default" r:id="rId9"/>
          <w:footerReference w:type="default" r:id="rId14"/>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About the Company</w:t>
      </w:r>
    </w:p>
    <w:p>
      <w:pPr>
        <w:spacing w:after="80"/>
      </w:pPr>
      <w:r>
        <w:t>We at Source Soft Solutions provide AI, cloud, and data solutions to drive innovation and growth across industries. Our services focus on data modernization, analytics, and cloud infrastructure management, helping businesses unlock new possibilities with AI/ML, data insights, and scalable cloud technologies.</w:t>
      </w:r>
    </w:p>
    <w:p>
      <w:pPr>
        <w:spacing w:after="80"/>
      </w:pPr>
      <w:r>
        <w:rPr>
          <w:rFonts w:ascii="Calibri" w:hAnsi="Calibri"/>
          <w:b/>
          <w:color w:val="1F4E78"/>
        </w:rPr>
        <w:t>Empowering organizations to thrive in the digital landscape.</w:t>
      </w:r>
    </w:p>
    <w:p>
      <w:pPr>
        <w:spacing w:after="80"/>
      </w:pPr>
      <w:r>
        <w:t>Headquartered in Edison, New Jersey, with an office in Dubai and our primary engineering centre in Noida, India, we run long-term maintenance and support contracts on the same platforms we engineer.</w:t>
      </w:r>
    </w:p>
    <w:p>
      <w:pPr>
        <w:spacing w:after="60"/>
      </w:pPr>
      <w:r>
        <w:rPr>
          <w:rFonts w:ascii="Calibri" w:hAnsi="Calibri"/>
          <w:b/>
          <w:sz w:val="24"/>
        </w:rPr>
        <w:t>What we deliver</w:t>
      </w:r>
    </w:p>
    <w:tbl>
      <w:tblPr>
        <w:tblW w:type="auto" w:w="0"/>
        <w:tblLayout w:type="autofit"/>
        <w:tblLook w:firstColumn="1" w:firstRow="1" w:lastColumn="0" w:lastRow="0" w:noHBand="0" w:noVBand="1" w:val="04A0"/>
      </w:tblPr>
      <w:tblGrid>
        <w:gridCol w:w="4320"/>
        <w:gridCol w:w="4320"/>
      </w:tblGrid>
      <w:tr>
        <w:tc>
          <w:tcPr>
            <w:tcW w:type="dxa" w:w="4320"/>
          </w:tcPr>
          <w:p>
            <w:pPr>
              <w:spacing w:after="40"/>
              <w:jc w:val="left"/>
            </w:pPr>
            <w:r>
              <w:rPr>
                <w:rFonts w:ascii="Calibri" w:hAnsi="Calibri"/>
              </w:rPr>
              <w:t>•  Transformative Data Solutions</w:t>
            </w:r>
          </w:p>
        </w:tc>
        <w:tc>
          <w:tcPr>
            <w:tcW w:type="dxa" w:w="4320"/>
          </w:tcPr>
          <w:p>
            <w:pPr>
              <w:spacing w:after="40"/>
              <w:jc w:val="left"/>
            </w:pPr>
            <w:r>
              <w:rPr>
                <w:rFonts w:ascii="Calibri" w:hAnsi="Calibri"/>
              </w:rPr>
              <w:t>•  Robust Cloud Services</w:t>
            </w:r>
          </w:p>
        </w:tc>
      </w:tr>
      <w:tr>
        <w:tc>
          <w:tcPr>
            <w:tcW w:type="dxa" w:w="4320"/>
          </w:tcPr>
          <w:p>
            <w:pPr>
              <w:spacing w:after="40"/>
              <w:jc w:val="left"/>
            </w:pPr>
            <w:r>
              <w:rPr>
                <w:rFonts w:ascii="Calibri" w:hAnsi="Calibri"/>
              </w:rPr>
              <w:t>•  Advanced AI Capabilities</w:t>
            </w:r>
          </w:p>
        </w:tc>
        <w:tc>
          <w:tcPr>
            <w:tcW w:type="dxa" w:w="4320"/>
          </w:tcPr>
          <w:p>
            <w:pPr>
              <w:spacing w:after="40"/>
              <w:jc w:val="left"/>
            </w:pPr>
            <w:r>
              <w:rPr>
                <w:rFonts w:ascii="Calibri" w:hAnsi="Calibri"/>
              </w:rPr>
              <w:t>•  Insightful Analytics</w:t>
            </w:r>
          </w:p>
        </w:tc>
      </w:tr>
      <w:tr>
        <w:tc>
          <w:tcPr>
            <w:tcW w:type="dxa" w:w="4320"/>
          </w:tcPr>
          <w:p>
            <w:pPr>
              <w:spacing w:after="40"/>
              <w:jc w:val="left"/>
            </w:pPr>
            <w:r>
              <w:rPr>
                <w:rFonts w:ascii="Calibri" w:hAnsi="Calibri"/>
              </w:rPr>
              <w:t>•  Seamless Integration</w:t>
            </w:r>
          </w:p>
        </w:tc>
        <w:tc>
          <w:tcPr>
            <w:tcW w:type="dxa" w:w="4320"/>
          </w:tcPr>
          <w:p>
            <w:pPr>
              <w:spacing w:after="40"/>
              <w:jc w:val="left"/>
            </w:pPr>
            <w:r>
              <w:rPr>
                <w:rFonts w:ascii="Calibri" w:hAnsi="Calibri"/>
              </w:rPr>
              <w:t>•  Custom Software Development</w:t>
            </w:r>
          </w:p>
        </w:tc>
      </w:tr>
      <w:tr>
        <w:tc>
          <w:tcPr>
            <w:tcW w:type="dxa" w:w="4320"/>
          </w:tcPr>
          <w:p>
            <w:pPr>
              <w:spacing w:after="40"/>
              <w:jc w:val="left"/>
            </w:pPr>
            <w:r>
              <w:rPr>
                <w:rFonts w:ascii="Calibri" w:hAnsi="Calibri"/>
              </w:rPr>
              <w:t>•  Data Security &amp; Compliance</w:t>
            </w:r>
          </w:p>
        </w:tc>
        <w:tc>
          <w:tcPr>
            <w:tcW w:type="dxa" w:w="4320"/>
          </w:tcPr>
          <w:p>
            <w:pPr>
              <w:spacing w:after="40"/>
              <w:jc w:val="left"/>
            </w:pPr>
            <w:r>
              <w:rPr>
                <w:rFonts w:ascii="Calibri" w:hAnsi="Calibri"/>
              </w:rPr>
              <w:t>•  Training &amp; Support</w:t>
            </w:r>
          </w:p>
        </w:tc>
      </w:tr>
    </w:tbl>
    <w:p/>
    <w:p>
      <w:pPr>
        <w:spacing w:after="60"/>
      </w:pPr>
      <w:r>
        <w:rPr>
          <w:rFonts w:ascii="Calibri" w:hAnsi="Calibri"/>
          <w:b/>
          <w:sz w:val="24"/>
        </w:rPr>
        <w:t>Leadership team</w:t>
      </w:r>
    </w:p>
    <w:tbl>
      <w:tblPr>
        <w:tblW w:type="auto" w:w="0"/>
        <w:tblLayout w:type="fixed"/>
        <w:tblLook w:firstColumn="1" w:firstRow="1" w:lastColumn="0" w:lastRow="0" w:noHBand="0" w:noVBand="1" w:val="04A0"/>
      </w:tblPr>
      <w:tblGrid>
        <w:gridCol w:w="4320"/>
        <w:gridCol w:w="4320"/>
      </w:tblGrid>
      <w:tr>
        <w:trPr>
          <w:cantSplit/>
        </w:trPr>
        <w:tc>
          <w:tcPr>
            <w:tcW w:type="dxa" w:w="1134"/>
            <w:vAlign w:val="center"/>
          </w:tcPr>
          <w:p>
            <w:pPr>
              <w:jc w:val="center"/>
              <w:keepNext/>
            </w:pPr>
            <w:r>
              <w:drawing>
                <wp:inline xmlns:a="http://schemas.openxmlformats.org/drawingml/2006/main" xmlns:pic="http://schemas.openxmlformats.org/drawingml/2006/picture">
                  <wp:extent cx="612000" cy="565080"/>
                  <wp:docPr id="2" name="Picture 2"/>
                  <wp:cNvGraphicFramePr>
                    <a:graphicFrameLocks noChangeAspect="1"/>
                  </wp:cNvGraphicFramePr>
                  <a:graphic>
                    <a:graphicData uri="http://schemas.openxmlformats.org/drawingml/2006/picture">
                      <pic:pic>
                        <pic:nvPicPr>
                          <pic:cNvPr id="0" name="alok_dharayan.png"/>
                          <pic:cNvPicPr/>
                        </pic:nvPicPr>
                        <pic:blipFill>
                          <a:blip r:embed="rId11"/>
                          <a:stretch>
                            <a:fillRect/>
                          </a:stretch>
                        </pic:blipFill>
                        <pic:spPr>
                          <a:xfrm>
                            <a:off x="0" y="0"/>
                            <a:ext cx="612000" cy="565080"/>
                          </a:xfrm>
                          <a:prstGeom prst="rect"/>
                        </pic:spPr>
                      </pic:pic>
                    </a:graphicData>
                  </a:graphic>
                </wp:inline>
              </w:drawing>
            </w:r>
          </w:p>
        </w:tc>
        <w:tc>
          <w:tcPr>
            <w:tcW w:type="dxa" w:w="8107"/>
            <w:vAlign w:val="center"/>
          </w:tcPr>
          <w:p>
            <w:pPr>
              <w:spacing w:after="20"/>
              <w:jc w:val="left"/>
              <w:keepNext/>
            </w:pPr>
            <w:r>
              <w:rPr>
                <w:rFonts w:ascii="Calibri" w:hAnsi="Calibri"/>
                <w:b/>
              </w:rPr>
              <w:t>Alok Dharayan — President</w:t>
            </w:r>
          </w:p>
          <w:p>
            <w:pPr>
              <w:spacing w:after="80"/>
              <w:jc w:val="left"/>
              <w:keepNext/>
            </w:pPr>
            <w:r>
              <w:t>25+ years delivering engineering solutions to complex global problems. Masters, New Jersey Institute of Technology. Sets delivery governance and client accountability across Source Soft Solutions' enterprise and government engagements.</w:t>
            </w:r>
          </w:p>
        </w:tc>
      </w:tr>
    </w:tbl>
    <w:p/>
    <w:tbl>
      <w:tblPr>
        <w:tblW w:type="auto" w:w="0"/>
        <w:tblLayout w:type="fixed"/>
        <w:tblLook w:firstColumn="1" w:firstRow="1" w:lastColumn="0" w:lastRow="0" w:noHBand="0" w:noVBand="1" w:val="04A0"/>
      </w:tblPr>
      <w:tblGrid>
        <w:gridCol w:w="4320"/>
        <w:gridCol w:w="4320"/>
      </w:tblGrid>
      <w:tr>
        <w:trPr>
          <w:cantSplit/>
        </w:trPr>
        <w:tc>
          <w:tcPr>
            <w:tcW w:type="dxa" w:w="1134"/>
            <w:vAlign w:val="center"/>
          </w:tcPr>
          <w:p>
            <w:pPr>
              <w:jc w:val="center"/>
              <w:keepNext/>
            </w:pPr>
            <w:r>
              <w:drawing>
                <wp:inline xmlns:a="http://schemas.openxmlformats.org/drawingml/2006/main" xmlns:pic="http://schemas.openxmlformats.org/drawingml/2006/picture">
                  <wp:extent cx="612000" cy="609868"/>
                  <wp:docPr id="3" name="Picture 3"/>
                  <wp:cNvGraphicFramePr>
                    <a:graphicFrameLocks noChangeAspect="1"/>
                  </wp:cNvGraphicFramePr>
                  <a:graphic>
                    <a:graphicData uri="http://schemas.openxmlformats.org/drawingml/2006/picture">
                      <pic:pic>
                        <pic:nvPicPr>
                          <pic:cNvPr id="0" name="vijay_konar.png"/>
                          <pic:cNvPicPr/>
                        </pic:nvPicPr>
                        <pic:blipFill>
                          <a:blip r:embed="rId12"/>
                          <a:stretch>
                            <a:fillRect/>
                          </a:stretch>
                        </pic:blipFill>
                        <pic:spPr>
                          <a:xfrm>
                            <a:off x="0" y="0"/>
                            <a:ext cx="612000" cy="609868"/>
                          </a:xfrm>
                          <a:prstGeom prst="rect"/>
                        </pic:spPr>
                      </pic:pic>
                    </a:graphicData>
                  </a:graphic>
                </wp:inline>
              </w:drawing>
            </w:r>
          </w:p>
        </w:tc>
        <w:tc>
          <w:tcPr>
            <w:tcW w:type="dxa" w:w="8107"/>
            <w:vAlign w:val="center"/>
          </w:tcPr>
          <w:p>
            <w:pPr>
              <w:spacing w:after="20"/>
              <w:jc w:val="left"/>
              <w:keepNext/>
            </w:pPr>
            <w:r>
              <w:rPr>
                <w:rFonts w:ascii="Calibri" w:hAnsi="Calibri"/>
                <w:b/>
              </w:rPr>
              <w:t>Vijay Konar — Chief Technology Officer</w:t>
            </w:r>
          </w:p>
          <w:p>
            <w:pPr>
              <w:spacing w:after="80"/>
              <w:jc w:val="left"/>
              <w:keepNext/>
            </w:pPr>
            <w:r>
              <w:t>Leads all product and platform engineering at Source Soft Solutions. Deep expertise in full-stack development, AWS cloud architecture and data engineering; owns technical standards, release controls and architecture reviews.</w:t>
            </w:r>
          </w:p>
        </w:tc>
      </w:tr>
    </w:tbl>
    <w:p/>
    <w:tbl>
      <w:tblPr>
        <w:tblW w:type="auto" w:w="0"/>
        <w:tblLayout w:type="fixed"/>
        <w:tblLook w:firstColumn="1" w:firstRow="1" w:lastColumn="0" w:lastRow="0" w:noHBand="0" w:noVBand="1" w:val="04A0"/>
      </w:tblPr>
      <w:tblGrid>
        <w:gridCol w:w="4320"/>
        <w:gridCol w:w="4320"/>
      </w:tblGrid>
      <w:tr>
        <w:trPr>
          <w:cantSplit/>
        </w:trPr>
        <w:tc>
          <w:tcPr>
            <w:tcW w:type="dxa" w:w="1134"/>
            <w:vAlign w:val="center"/>
          </w:tcPr>
          <w:p>
            <w:pPr>
              <w:jc w:val="center"/>
              <w:keepNext/>
            </w:pPr>
            <w:r>
              <w:drawing>
                <wp:inline xmlns:a="http://schemas.openxmlformats.org/drawingml/2006/main" xmlns:pic="http://schemas.openxmlformats.org/drawingml/2006/picture">
                  <wp:extent cx="612000" cy="590969"/>
                  <wp:docPr id="4" name="Picture 4"/>
                  <wp:cNvGraphicFramePr>
                    <a:graphicFrameLocks noChangeAspect="1"/>
                  </wp:cNvGraphicFramePr>
                  <a:graphic>
                    <a:graphicData uri="http://schemas.openxmlformats.org/drawingml/2006/picture">
                      <pic:pic>
                        <pic:nvPicPr>
                          <pic:cNvPr id="0" name="vikram_sharma.png"/>
                          <pic:cNvPicPr/>
                        </pic:nvPicPr>
                        <pic:blipFill>
                          <a:blip r:embed="rId13"/>
                          <a:stretch>
                            <a:fillRect/>
                          </a:stretch>
                        </pic:blipFill>
                        <pic:spPr>
                          <a:xfrm>
                            <a:off x="0" y="0"/>
                            <a:ext cx="612000" cy="590969"/>
                          </a:xfrm>
                          <a:prstGeom prst="rect"/>
                        </pic:spPr>
                      </pic:pic>
                    </a:graphicData>
                  </a:graphic>
                </wp:inline>
              </w:drawing>
            </w:r>
          </w:p>
        </w:tc>
        <w:tc>
          <w:tcPr>
            <w:tcW w:type="dxa" w:w="8107"/>
            <w:vAlign w:val="center"/>
          </w:tcPr>
          <w:p>
            <w:pPr>
              <w:spacing w:after="20"/>
              <w:jc w:val="left"/>
              <w:keepNext/>
            </w:pPr>
            <w:r>
              <w:rPr>
                <w:rFonts w:ascii="Calibri" w:hAnsi="Calibri"/>
                <w:b/>
              </w:rPr>
              <w:t>Vikram Sharma — Solutions Lead</w:t>
            </w:r>
          </w:p>
          <w:p>
            <w:pPr>
              <w:spacing w:after="80"/>
              <w:jc w:val="left"/>
              <w:keepNext/>
            </w:pPr>
            <w:r>
              <w:t>Architects client engagements end-to-end — from requirement study and solution design to transition-in and steady-state operations. Background in enterprise consulting and large-scale application maintenance programmes.</w:t>
            </w:r>
          </w:p>
        </w:tc>
      </w:tr>
    </w:tbl>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5" name="Picture 5"/>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TECHNICAL PROPOSAL</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Proposal No.</w:t>
            </w:r>
          </w:p>
        </w:tc>
        <w:tc>
          <w:tcPr>
            <w:tcW w:type="dxa" w:w="4320"/>
          </w:tcPr>
          <w:p>
            <w:pPr>
              <w:jc w:val="left"/>
            </w:pPr>
            <w:r>
              <w:t>{{ proposal_no }}</w:t>
            </w:r>
          </w:p>
        </w:tc>
      </w:tr>
      <w:tr>
        <w:tc>
          <w:tcPr>
            <w:tcW w:type="dxa" w:w="4320"/>
          </w:tcPr>
          <w:p>
            <w:pPr>
              <w:jc w:val="left"/>
            </w:pPr>
            <w:r>
              <w:rPr>
                <w:b/>
              </w:rPr>
              <w:t>Date</w:t>
            </w:r>
          </w:p>
        </w:tc>
        <w:tc>
          <w:tcPr>
            <w:tcW w:type="dxa" w:w="4320"/>
          </w:tcPr>
          <w:p>
            <w:pPr>
              <w:jc w:val="left"/>
            </w:pPr>
            <w:r>
              <w:t>{{ proposal_date }}</w:t>
            </w:r>
          </w:p>
        </w:tc>
      </w:tr>
      <w:tr>
        <w:tc>
          <w:tcPr>
            <w:tcW w:type="dxa" w:w="4320"/>
          </w:tcPr>
          <w:p>
            <w:pPr>
              <w:jc w:val="left"/>
            </w:pPr>
            <w:r>
              <w:rPr>
                <w:b/>
              </w:rPr>
              <w:t>Client</w:t>
            </w:r>
          </w:p>
        </w:tc>
        <w:tc>
          <w:tcPr>
            <w:tcW w:type="dxa" w:w="4320"/>
          </w:tcPr>
          <w:p>
            <w:pPr>
              <w:jc w:val="left"/>
            </w:pPr>
            <w:r>
              <w:t>{{ client_name }}</w:t>
            </w:r>
          </w:p>
        </w:tc>
      </w:tr>
      <w:tr>
        <w:tc>
          <w:tcPr>
            <w:tcW w:type="dxa" w:w="4320"/>
          </w:tcPr>
          <w:p>
            <w:pPr>
              <w:jc w:val="left"/>
            </w:pPr>
            <w:r>
              <w:rPr>
                <w:b/>
              </w:rPr>
              <w:t>Project</w:t>
            </w:r>
          </w:p>
        </w:tc>
        <w:tc>
          <w:tcPr>
            <w:tcW w:type="dxa" w:w="4320"/>
          </w:tcPr>
          <w:p>
            <w:pPr>
              <w:jc w:val="left"/>
            </w:pPr>
            <w:r>
              <w:t>{{ project_title }}</w:t>
            </w:r>
          </w:p>
        </w:tc>
      </w:tr>
    </w:tbl>
    <w:p/>
    <w:p>
      <w:pPr>
        <w:spacing w:before="160" w:after="120"/>
        <w:shd w:val="clear" w:color="auto" w:fill="1F4E78"/>
        <w:outlineLvl w:val="0"/>
      </w:pPr>
      <w:r>
        <w:rPr>
          <w:rFonts w:ascii="Calibri" w:hAnsi="Calibri"/>
          <w:b/>
          <w:color w:val="FFFFFF"/>
        </w:rPr>
        <w:t>1. Executive Summary</w:t>
      </w:r>
    </w:p>
    <w:p>
      <w:r>
        <w:t>{{ executive_summary }}</w:t>
      </w:r>
    </w:p>
    <w:p>
      <w:pPr>
        <w:spacing w:before="160" w:after="120"/>
        <w:shd w:val="clear" w:color="auto" w:fill="1F4E78"/>
        <w:outlineLvl w:val="0"/>
      </w:pPr>
      <w:r>
        <w:rPr>
          <w:rFonts w:ascii="Calibri" w:hAnsi="Calibri"/>
          <w:b/>
          <w:color w:val="FFFFFF"/>
        </w:rPr>
        <w:t>2. Our Understanding of the Requirement</w:t>
      </w:r>
    </w:p>
    <w:p>
      <w:r>
        <w:t>{{ understanding }}</w:t>
      </w:r>
    </w:p>
    <w:p>
      <w:pPr>
        <w:spacing w:before="160" w:after="120"/>
        <w:shd w:val="clear" w:color="auto" w:fill="1F4E78"/>
        <w:outlineLvl w:val="0"/>
      </w:pPr>
      <w:r>
        <w:rPr>
          <w:rFonts w:ascii="Calibri" w:hAnsi="Calibri"/>
          <w:b/>
          <w:color w:val="FFFFFF"/>
        </w:rPr>
        <w:t>3. Project Objectives</w:t>
      </w:r>
    </w:p>
    <w:p>
      <w:r>
        <w:t>{{ objectives }}</w:t>
      </w:r>
    </w:p>
    <w:p>
      <w:pPr>
        <w:spacing w:before="160" w:after="120"/>
        <w:shd w:val="clear" w:color="auto" w:fill="1F4E78"/>
        <w:outlineLvl w:val="0"/>
      </w:pPr>
      <w:r>
        <w:rPr>
          <w:rFonts w:ascii="Calibri" w:hAnsi="Calibri"/>
          <w:b/>
          <w:color w:val="FFFFFF"/>
        </w:rPr>
        <w:t>4. Requirement to Solution Compliance Matrix</w:t>
      </w:r>
    </w:p>
    <w:p>
      <w:r>
        <w:t>{{ compliance_summary }}</w:t>
      </w:r>
    </w:p>
    <w:p>
      <w:r>
        <w:t>[[COMPLIANCE_MATRIX]]</w:t>
      </w:r>
    </w:p>
    <w:p>
      <w:pPr>
        <w:spacing w:before="160" w:after="120"/>
        <w:shd w:val="clear" w:color="auto" w:fill="1F4E78"/>
        <w:outlineLvl w:val="0"/>
      </w:pPr>
      <w:r>
        <w:rPr>
          <w:rFonts w:ascii="Calibri" w:hAnsi="Calibri"/>
          <w:b/>
          <w:color w:val="FFFFFF"/>
        </w:rPr>
        <w:t>5. Information Architecture</w:t>
      </w:r>
    </w:p>
    <w:p>
      <w:r>
        <w:t>{{ information_architecture }}</w:t>
      </w:r>
    </w:p>
    <w:p>
      <w:r>
        <w:t>[[SITEMAP_DIAGRAM]]</w:t>
      </w:r>
    </w:p>
    <w:p>
      <w:pPr>
        <w:spacing w:before="160" w:after="120"/>
        <w:shd w:val="clear" w:color="auto" w:fill="1F4E78"/>
        <w:outlineLvl w:val="0"/>
      </w:pPr>
      <w:r>
        <w:rPr>
          <w:rFonts w:ascii="Calibri" w:hAnsi="Calibri"/>
          <w:b/>
          <w:color w:val="FFFFFF"/>
        </w:rPr>
        <w:t>6. Solution &amp; Technology Architecture</w:t>
      </w:r>
    </w:p>
    <w:p>
      <w:r>
        <w:t>{{ architecture_intro }}</w:t>
      </w:r>
    </w:p>
    <w:p>
      <w:r>
        <w:t>[[ARCHITECTURE_DIAGRAM]]</w:t>
      </w:r>
    </w:p>
    <w:p>
      <w:pPr>
        <w:spacing w:before="160" w:after="120"/>
        <w:shd w:val="clear" w:color="auto" w:fill="1F4E78"/>
        <w:outlineLvl w:val="0"/>
      </w:pPr>
      <w:r>
        <w:rPr>
          <w:rFonts w:ascii="Calibri" w:hAnsi="Calibri"/>
          <w:b/>
          <w:color w:val="FFFFFF"/>
        </w:rPr>
        <w:t>7. Data Flow Diagram</w:t>
      </w:r>
    </w:p>
    <w:p>
      <w:r>
        <w:t>{{ data_flow_intro }}</w:t>
      </w:r>
    </w:p>
    <w:p>
      <w:r>
        <w:t>[[DATA_FLOW_DIAGRAM]]</w:t>
      </w:r>
    </w:p>
    <w:p>
      <w:pPr>
        <w:spacing w:before="160" w:after="120"/>
        <w:shd w:val="clear" w:color="auto" w:fill="1F4E78"/>
        <w:outlineLvl w:val="0"/>
      </w:pPr>
      <w:r>
        <w:rPr>
          <w:rFonts w:ascii="Calibri" w:hAnsi="Calibri"/>
          <w:b/>
          <w:color w:val="FFFFFF"/>
        </w:rPr>
        <w:t>8. Public Website — Modules &amp; Features</w:t>
      </w:r>
    </w:p>
    <w:p>
      <w:r>
        <w:t>{{ modules_intro }}</w:t>
      </w:r>
    </w:p>
    <w:p>
      <w:r>
        <w:t>[[MODULES_TABLE]]</w:t>
      </w:r>
    </w:p>
    <w:p>
      <w:pPr>
        <w:spacing w:before="160" w:after="120"/>
        <w:shd w:val="clear" w:color="auto" w:fill="1F4E78"/>
        <w:outlineLvl w:val="0"/>
      </w:pPr>
      <w:r>
        <w:rPr>
          <w:rFonts w:ascii="Calibri" w:hAnsi="Calibri"/>
          <w:b/>
          <w:color w:val="FFFFFF"/>
        </w:rPr>
        <w:t>9. Core Platform Module</w:t>
      </w:r>
    </w:p>
    <w:p>
      <w:r>
        <w:t>{{ core_module_intro }}</w:t>
      </w:r>
    </w:p>
    <w:p>
      <w:r>
        <w:t>[[CORE_MODULE_FLOW]]</w:t>
      </w:r>
    </w:p>
    <w:p>
      <w:pPr>
        <w:spacing w:before="160" w:after="120"/>
        <w:shd w:val="clear" w:color="auto" w:fill="1F4E78"/>
        <w:outlineLvl w:val="0"/>
      </w:pPr>
      <w:r>
        <w:rPr>
          <w:rFonts w:ascii="Calibri" w:hAnsi="Calibri"/>
          <w:b/>
          <w:color w:val="FFFFFF"/>
        </w:rPr>
        <w:t>10. Admin CMS Portal</w:t>
      </w:r>
    </w:p>
    <w:p>
      <w:r>
        <w:t>{{ admin_portal_intro }}</w:t>
      </w:r>
    </w:p>
    <w:p>
      <w:r>
        <w:t>[[ADMIN_FEATURE_GRID]]</w:t>
      </w:r>
    </w:p>
    <w:p>
      <w:pPr>
        <w:spacing w:after="60"/>
      </w:pPr>
      <w:r>
        <w:rPr>
          <w:rFonts w:ascii="Calibri" w:hAnsi="Calibri"/>
          <w:b/>
          <w:sz w:val="24"/>
        </w:rPr>
        <w:t>Roles</w:t>
      </w:r>
    </w:p>
    <w:p>
      <w:r>
        <w:t>[[ADMIN_ROLES_TABLE]]</w:t>
      </w:r>
    </w:p>
    <w:p>
      <w:pPr>
        <w:spacing w:before="160" w:after="120"/>
        <w:shd w:val="clear" w:color="auto" w:fill="1F4E78"/>
        <w:outlineLvl w:val="0"/>
      </w:pPr>
      <w:r>
        <w:rPr>
          <w:rFonts w:ascii="Calibri" w:hAnsi="Calibri"/>
          <w:b/>
          <w:color w:val="FFFFFF"/>
        </w:rPr>
        <w:t>11. Enquiry &amp; Notification Handling</w:t>
      </w:r>
    </w:p>
    <w:p>
      <w:r>
        <w:t>{{ enquiry_intro }}</w:t>
      </w:r>
    </w:p>
    <w:p>
      <w:r>
        <w:t>[[ENQUIRY_TABLE]]</w:t>
      </w:r>
    </w:p>
    <w:p>
      <w:pPr>
        <w:spacing w:before="160" w:after="120"/>
        <w:shd w:val="clear" w:color="auto" w:fill="1F4E78"/>
        <w:outlineLvl w:val="0"/>
      </w:pPr>
      <w:r>
        <w:rPr>
          <w:rFonts w:ascii="Calibri" w:hAnsi="Calibri"/>
          <w:b/>
          <w:color w:val="FFFFFF"/>
        </w:rPr>
        <w:t>12. Security, Hosting &amp; Compliance</w:t>
      </w:r>
    </w:p>
    <w:p>
      <w:r>
        <w:t>{{ security_intro }}</w:t>
      </w:r>
    </w:p>
    <w:p>
      <w:r>
        <w:t>[[SECURITY_FLOW]]</w:t>
      </w:r>
    </w:p>
    <w:p>
      <w:r>
        <w:t>[[SECURITY_TABLE]]</w:t>
      </w:r>
    </w:p>
    <w:p>
      <w:pPr>
        <w:spacing w:before="160" w:after="120"/>
        <w:shd w:val="clear" w:color="auto" w:fill="1F4E78"/>
        <w:outlineLvl w:val="0"/>
      </w:pPr>
      <w:r>
        <w:rPr>
          <w:rFonts w:ascii="Calibri" w:hAnsi="Calibri"/>
          <w:b/>
          <w:color w:val="FFFFFF"/>
        </w:rPr>
        <w:t>13. Multilingual, SEO &amp; Performance</w:t>
      </w:r>
    </w:p>
    <w:p>
      <w:r>
        <w:t>{{ seo_intro }}</w:t>
      </w:r>
    </w:p>
    <w:p>
      <w:r>
        <w:t>[[SEO_TABLE]]</w:t>
      </w:r>
    </w:p>
    <w:p>
      <w:pPr>
        <w:spacing w:before="160" w:after="120"/>
        <w:shd w:val="clear" w:color="auto" w:fill="1F4E78"/>
        <w:outlineLvl w:val="0"/>
      </w:pPr>
      <w:r>
        <w:rPr>
          <w:rFonts w:ascii="Calibri" w:hAnsi="Calibri"/>
          <w:b/>
          <w:color w:val="FFFFFF"/>
        </w:rPr>
        <w:t>14. UI Design Concepts &amp; Mock Screens</w:t>
      </w:r>
    </w:p>
    <w:p>
      <w:r>
        <w:t>The concepts below illustrate the shape and structure of the public site and the admin CMS — page layout, navigation and information density — not final visual design. Final screens are confirmed with {{ client_name }} in the discovery and design phase.</w:t>
      </w:r>
    </w:p>
    <w:p>
      <w:r>
        <w:t>[[UI_MOCKUP_HOME]]</w:t>
      </w:r>
    </w:p>
    <w:p/>
    <w:p>
      <w:r>
        <w:t>[[UI_MOCKUP_ADMIN]]</w:t>
      </w:r>
    </w:p>
    <w:p>
      <w:pPr>
        <w:spacing w:before="160" w:after="120"/>
        <w:shd w:val="clear" w:color="auto" w:fill="1F4E78"/>
        <w:outlineLvl w:val="0"/>
      </w:pPr>
      <w:r>
        <w:rPr>
          <w:rFonts w:ascii="Calibri" w:hAnsi="Calibri"/>
          <w:b/>
          <w:color w:val="FFFFFF"/>
        </w:rPr>
        <w:t>15. Implementation Methodology &amp; Timeline</w:t>
      </w:r>
    </w:p>
    <w:p>
      <w:r>
        <w:t>{{ methodology }}</w:t>
      </w:r>
    </w:p>
    <w:p>
      <w:r>
        <w:t>[[TIMELINE_DIAGRAM]]</w:t>
      </w:r>
    </w:p>
    <w:p>
      <w:pPr>
        <w:spacing w:before="160" w:after="120"/>
        <w:shd w:val="clear" w:color="auto" w:fill="1F4E78"/>
        <w:outlineLvl w:val="0"/>
      </w:pPr>
      <w:r>
        <w:rPr>
          <w:rFonts w:ascii="Calibri" w:hAnsi="Calibri"/>
          <w:b/>
          <w:color w:val="FFFFFF"/>
        </w:rPr>
        <w:t>16. Annual Maintenance &amp; Support</w:t>
      </w:r>
    </w:p>
    <w:p>
      <w:r>
        <w:t>{{ amc_intro }}</w:t>
      </w:r>
    </w:p>
    <w:p>
      <w:r>
        <w:t>[[AMC_TABLE]]</w:t>
      </w:r>
    </w:p>
    <w:p>
      <w:pPr>
        <w:spacing w:before="160" w:after="120"/>
        <w:shd w:val="clear" w:color="auto" w:fill="1F4E78"/>
        <w:outlineLvl w:val="0"/>
      </w:pPr>
      <w:r>
        <w:rPr>
          <w:rFonts w:ascii="Calibri" w:hAnsi="Calibri"/>
          <w:b/>
          <w:color w:val="FFFFFF"/>
        </w:rPr>
        <w:t>17. Deliverables, Assumptions &amp; Clarifications</w:t>
      </w:r>
    </w:p>
    <w:p>
      <w:r>
        <w:t>{{ deliverables }}</w:t>
      </w:r>
    </w:p>
    <w:p/>
    <w:p/>
    <w:p>
      <w:r>
        <w:drawing>
          <wp:inline xmlns:a="http://schemas.openxmlformats.org/drawingml/2006/main" xmlns:pic="http://schemas.openxmlformats.org/drawingml/2006/picture">
            <wp:extent cx="576000" cy="576000"/>
            <wp:docPr id="6" name="Picture 6"/>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p>
      <w:pPr>
        <w:jc w:val="left"/>
      </w:pPr>
      <w:r>
        <w:t>For {{ submitted_by }}</w:t>
      </w:r>
    </w:p>
    <w:p/>
    <w:p>
      <w:pPr>
        <w:jc w:val="left"/>
      </w:pPr>
      <w:r>
        <w:t>Name: {{ signatory_name }}</w:t>
        <w:br/>
        <w:t>Designation: {{ signatory_designation }}</w:t>
      </w:r>
    </w:p>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8" w:space="4" w:color="1F4E78"/>
      </w:pBdr>
    </w:pPr>
  </w:p>
  <w:tbl>
    <w:tblPr>
      <w:tblW w:type="auto" w:w="0"/>
      <w:tblLayout w:type="autofit"/>
      <w:tblLook w:firstColumn="1" w:firstRow="1" w:lastColumn="0" w:lastRow="0" w:noHBand="0" w:noVBand="1" w:val="04A0"/>
    </w:tblPr>
    <w:tblGrid>
      <w:gridCol w:w="3213"/>
      <w:gridCol w:w="3213"/>
      <w:gridCol w:w="3213"/>
    </w:tblGrid>
    <w:tr>
      <w:tc>
        <w:tcPr>
          <w:tcW w:type="dxa" w:w="3213"/>
        </w:tcPr>
        <w:p>
          <w:pPr>
            <w:spacing w:after="20"/>
            <w:jc w:val="left"/>
          </w:pPr>
          <w:r>
            <w:rPr>
              <w:rFonts w:ascii="Calibri" w:hAnsi="Calibri"/>
              <w:b/>
              <w:sz w:val="16"/>
            </w:rPr>
            <w:t>New Jersey, USA – Headquarters</w:t>
          </w:r>
        </w:p>
        <w:p>
          <w:pPr>
            <w:spacing w:after="20"/>
            <w:jc w:val="left"/>
          </w:pPr>
          <w:r>
            <w:rPr>
              <w:rFonts w:ascii="Calibri" w:hAnsi="Calibri"/>
              <w:sz w:val="16"/>
            </w:rPr>
            <w:t>3840 Park Avenue, STE C-205, Edison, NJ 08820</w:t>
          </w:r>
        </w:p>
        <w:p>
          <w:pPr>
            <w:spacing w:after="20"/>
            <w:jc w:val="left"/>
          </w:pPr>
          <w:r>
            <w:rPr>
              <w:rFonts w:ascii="Calibri" w:hAnsi="Calibri"/>
              <w:sz w:val="16"/>
            </w:rPr>
            <w:t>+1 551 358 2076</w:t>
          </w:r>
        </w:p>
      </w:tc>
      <w:tc>
        <w:tcPr>
          <w:tcW w:type="dxa" w:w="3213"/>
        </w:tcPr>
        <w:p>
          <w:pPr>
            <w:spacing w:after="20"/>
            <w:jc w:val="left"/>
          </w:pPr>
          <w:r>
            <w:rPr>
              <w:rFonts w:ascii="Calibri" w:hAnsi="Calibri"/>
              <w:b/>
              <w:sz w:val="16"/>
            </w:rPr>
            <w:t>Dubai, UAE</w:t>
          </w:r>
        </w:p>
        <w:p>
          <w:pPr>
            <w:spacing w:after="20"/>
            <w:jc w:val="left"/>
          </w:pPr>
          <w:r>
            <w:rPr>
              <w:rFonts w:ascii="Calibri" w:hAnsi="Calibri"/>
              <w:sz w:val="16"/>
            </w:rPr>
            <w:t>Unit 107-0140, OF 107, Dubai Investment Park First</w:t>
          </w:r>
        </w:p>
        <w:p>
          <w:pPr>
            <w:spacing w:after="20"/>
            <w:jc w:val="left"/>
          </w:pPr>
          <w:r>
            <w:rPr>
              <w:rFonts w:ascii="Calibri" w:hAnsi="Calibri"/>
              <w:sz w:val="16"/>
            </w:rPr>
            <w:t>+971 50 780 4640</w:t>
          </w:r>
        </w:p>
      </w:tc>
      <w:tc>
        <w:tcPr>
          <w:tcW w:type="dxa" w:w="3213"/>
        </w:tcPr>
        <w:p>
          <w:pPr>
            <w:spacing w:after="20"/>
            <w:jc w:val="left"/>
          </w:pPr>
          <w:r>
            <w:rPr>
              <w:rFonts w:ascii="Calibri" w:hAnsi="Calibri"/>
              <w:b/>
              <w:sz w:val="16"/>
            </w:rPr>
            <w:t>Noida, India</w:t>
          </w:r>
        </w:p>
        <w:p>
          <w:pPr>
            <w:spacing w:after="20"/>
            <w:jc w:val="left"/>
          </w:pPr>
          <w:r>
            <w:rPr>
              <w:rFonts w:ascii="Calibri" w:hAnsi="Calibri"/>
              <w:sz w:val="16"/>
            </w:rPr>
            <w:t>B-21 &amp; B-93, Sector 67, Noida 201301, Uttar Pradesh</w:t>
          </w:r>
        </w:p>
        <w:p>
          <w:pPr>
            <w:spacing w:after="20"/>
            <w:jc w:val="left"/>
          </w:pPr>
          <w:r>
            <w:rPr>
              <w:rFonts w:ascii="Calibri" w:hAnsi="Calibri"/>
              <w:sz w:val="16"/>
            </w:rPr>
            <w:t>+91 98999 41672</w:t>
          </w:r>
        </w:p>
      </w:tc>
    </w:tr>
  </w:tbl>
  <w:p>
    <w:pPr>
      <w:tabs>
        <w:tab w:pos="9638" w:val="right"/>
      </w:tabs>
      <w:jc w:val="left"/>
    </w:pPr>
    <w:r>
      <w:rPr>
        <w:rFonts w:ascii="Calibri" w:hAnsi="Calibri"/>
        <w:sz w:val="16"/>
      </w:rPr>
      <w:t>info@sourcesoftsolutions.com · www.sourcesoftsolutions.com · Confidential — prepared for {{ client_name }}</w:t>
      <w:tab/>
    </w:r>
    <w:r>
      <w:rPr>
        <w:rFonts w:ascii="Calibri" w:hAnsi="Calibri"/>
        <w:sz w:val="16"/>
      </w:rPr>
      <w:t xml:space="preserve">Page </w:t>
    </w:r>
    <w:r>
      <w:rPr>
        <w:rFonts w:ascii="Calibri" w:hAnsi="Calibri"/>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TECHNICAL PROPOSAL — {{ proposal_no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