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4FD2A" w14:textId="6791763C" w:rsidR="00F90FDF" w:rsidRPr="00F90FDF" w:rsidRDefault="00F90FDF" w:rsidP="000E66F6">
      <w:pPr>
        <w:pStyle w:val="Heading1"/>
        <w:spacing w:line="240" w:lineRule="auto"/>
        <w:jc w:val="center"/>
        <w:rPr>
          <w:rFonts w:ascii="Times" w:eastAsia="Times New Roman" w:hAnsi="Times"/>
          <w:b/>
          <w:bCs/>
          <w:color w:val="000000" w:themeColor="text1"/>
          <w:u w:val="single"/>
        </w:rPr>
      </w:pPr>
      <w:r w:rsidRPr="00F90FDF">
        <w:rPr>
          <w:rFonts w:ascii="Times" w:eastAsia="Times New Roman" w:hAnsi="Times"/>
          <w:b/>
          <w:bCs/>
          <w:color w:val="000000" w:themeColor="text1"/>
          <w:u w:val="single"/>
        </w:rPr>
        <w:t>Analysis of Sports Crowdfunding Campaigns</w:t>
      </w:r>
    </w:p>
    <w:p w14:paraId="07096EC0" w14:textId="62420B79" w:rsidR="005D3368" w:rsidRPr="00257AAF" w:rsidRDefault="00A50B3B" w:rsidP="000E66F6">
      <w:pPr>
        <w:pStyle w:val="Heading1"/>
        <w:spacing w:line="240" w:lineRule="auto"/>
        <w:jc w:val="both"/>
        <w:rPr>
          <w:rFonts w:ascii="Times" w:eastAsia="Times New Roman" w:hAnsi="Times"/>
          <w:b/>
          <w:bCs/>
          <w:color w:val="000000" w:themeColor="text1"/>
          <w:sz w:val="28"/>
          <w:szCs w:val="28"/>
          <w:u w:val="single"/>
        </w:rPr>
      </w:pPr>
      <w:r w:rsidRPr="00257AAF">
        <w:rPr>
          <w:rFonts w:ascii="Times" w:eastAsia="Times New Roman" w:hAnsi="Times"/>
          <w:b/>
          <w:bCs/>
          <w:color w:val="000000" w:themeColor="text1"/>
          <w:sz w:val="28"/>
          <w:szCs w:val="28"/>
          <w:u w:val="single"/>
        </w:rPr>
        <w:t>Idea</w:t>
      </w:r>
      <w:r w:rsidR="005E6C44" w:rsidRPr="00257AAF">
        <w:rPr>
          <w:rFonts w:ascii="Times" w:eastAsia="Times New Roman" w:hAnsi="Times"/>
          <w:b/>
          <w:bCs/>
          <w:color w:val="000000" w:themeColor="text1"/>
          <w:sz w:val="28"/>
          <w:szCs w:val="28"/>
          <w:u w:val="single"/>
        </w:rPr>
        <w:t xml:space="preserve"> </w:t>
      </w:r>
    </w:p>
    <w:p w14:paraId="659F9084" w14:textId="7130AB6D" w:rsidR="005D3368" w:rsidRPr="00F90FDF" w:rsidRDefault="00DA3436" w:rsidP="000E66F6">
      <w:pPr>
        <w:spacing w:line="240" w:lineRule="auto"/>
        <w:jc w:val="both"/>
        <w:rPr>
          <w:rFonts w:ascii="Times" w:hAnsi="Times"/>
        </w:rPr>
      </w:pPr>
      <w:r>
        <w:rPr>
          <w:rFonts w:ascii="Times" w:hAnsi="Times"/>
        </w:rPr>
        <w:t xml:space="preserve">Analysis of </w:t>
      </w:r>
      <w:r w:rsidR="00F90FDF">
        <w:rPr>
          <w:rFonts w:ascii="Times" w:hAnsi="Times"/>
        </w:rPr>
        <w:t xml:space="preserve">reward-based sports crowdfunding campaigns from the </w:t>
      </w:r>
      <w:proofErr w:type="spellStart"/>
      <w:r w:rsidR="00F90FDF">
        <w:rPr>
          <w:rFonts w:ascii="Times" w:hAnsi="Times"/>
        </w:rPr>
        <w:t>SportFunder</w:t>
      </w:r>
      <w:proofErr w:type="spellEnd"/>
      <w:r w:rsidR="00F90FDF">
        <w:rPr>
          <w:rFonts w:ascii="Times" w:hAnsi="Times"/>
        </w:rPr>
        <w:t xml:space="preserve"> website, aimed at supporting the entrepreneurs, </w:t>
      </w:r>
      <w:proofErr w:type="spellStart"/>
      <w:r w:rsidR="00F90FDF">
        <w:rPr>
          <w:rFonts w:ascii="Times" w:hAnsi="Times"/>
        </w:rPr>
        <w:t>crowdfunders</w:t>
      </w:r>
      <w:proofErr w:type="spellEnd"/>
      <w:r w:rsidR="00F90FDF">
        <w:rPr>
          <w:rFonts w:ascii="Times" w:hAnsi="Times"/>
        </w:rPr>
        <w:t>, and investors</w:t>
      </w:r>
      <w:r>
        <w:rPr>
          <w:rFonts w:ascii="Times" w:hAnsi="Times"/>
        </w:rPr>
        <w:t>, through consulting</w:t>
      </w:r>
    </w:p>
    <w:p w14:paraId="64BF87B1" w14:textId="444DDBE5" w:rsidR="00A50B3B" w:rsidRPr="00257AAF" w:rsidRDefault="00F90FDF" w:rsidP="000E66F6">
      <w:pPr>
        <w:pStyle w:val="Heading1"/>
        <w:spacing w:line="240" w:lineRule="auto"/>
        <w:jc w:val="both"/>
        <w:rPr>
          <w:rFonts w:ascii="Times" w:eastAsia="Times New Roman" w:hAnsi="Times"/>
          <w:b/>
          <w:bCs/>
          <w:sz w:val="28"/>
          <w:szCs w:val="28"/>
          <w:u w:val="single"/>
        </w:rPr>
      </w:pPr>
      <w:r w:rsidRPr="00257AAF">
        <w:rPr>
          <w:rFonts w:ascii="Times" w:eastAsia="Times New Roman" w:hAnsi="Times"/>
          <w:b/>
          <w:bCs/>
          <w:color w:val="000000" w:themeColor="text1"/>
          <w:sz w:val="28"/>
          <w:szCs w:val="28"/>
          <w:u w:val="single"/>
        </w:rPr>
        <w:t>Business Opportunity/Goal</w:t>
      </w:r>
    </w:p>
    <w:p w14:paraId="5BE637C3" w14:textId="4BDD96CE" w:rsidR="00C86360" w:rsidRDefault="00245604" w:rsidP="00B0723F">
      <w:pPr>
        <w:shd w:val="clear" w:color="auto" w:fill="FFFFFF"/>
        <w:spacing w:after="120" w:line="240" w:lineRule="auto"/>
        <w:jc w:val="both"/>
        <w:rPr>
          <w:rFonts w:ascii="Times" w:eastAsia="Times New Roman" w:hAnsi="Times" w:cs="Times New Roman"/>
          <w:color w:val="2D3B45"/>
          <w:szCs w:val="24"/>
        </w:rPr>
      </w:pPr>
      <w:r>
        <w:rPr>
          <w:rFonts w:ascii="Times" w:eastAsia="Times New Roman" w:hAnsi="Times" w:cs="Times New Roman"/>
          <w:color w:val="2D3B45"/>
          <w:szCs w:val="24"/>
        </w:rPr>
        <w:t xml:space="preserve">We aim to develop a business model with the </w:t>
      </w:r>
      <w:r w:rsidR="00C87ACF">
        <w:rPr>
          <w:rFonts w:ascii="Times" w:eastAsia="Times New Roman" w:hAnsi="Times" w:cs="Times New Roman"/>
          <w:color w:val="2D3B45"/>
          <w:szCs w:val="24"/>
        </w:rPr>
        <w:t xml:space="preserve">sports </w:t>
      </w:r>
      <w:r>
        <w:rPr>
          <w:rFonts w:ascii="Times" w:eastAsia="Times New Roman" w:hAnsi="Times" w:cs="Times New Roman"/>
          <w:color w:val="2D3B45"/>
          <w:szCs w:val="24"/>
        </w:rPr>
        <w:t>campaign creators</w:t>
      </w:r>
      <w:r w:rsidR="00C87ACF">
        <w:rPr>
          <w:rFonts w:ascii="Times" w:eastAsia="Times New Roman" w:hAnsi="Times" w:cs="Times New Roman"/>
          <w:color w:val="2D3B45"/>
          <w:szCs w:val="24"/>
        </w:rPr>
        <w:t xml:space="preserve"> (individuals and small businesses)</w:t>
      </w:r>
      <w:r>
        <w:rPr>
          <w:rFonts w:ascii="Times" w:eastAsia="Times New Roman" w:hAnsi="Times" w:cs="Times New Roman"/>
          <w:color w:val="2D3B45"/>
          <w:szCs w:val="24"/>
        </w:rPr>
        <w:t xml:space="preserve"> as our primary customers, whom we aim to offer consulting services on developing successful campaigns. The success framework that we develop through an empirical analysis of the crowdfunding data of sports campaigns will serve as the backbone of our services. </w:t>
      </w:r>
      <w:r w:rsidR="00C86360">
        <w:rPr>
          <w:rFonts w:ascii="Times" w:eastAsia="Times New Roman" w:hAnsi="Times" w:cs="Times New Roman"/>
          <w:color w:val="2D3B45"/>
          <w:szCs w:val="24"/>
        </w:rPr>
        <w:t>The services will primarily include:</w:t>
      </w:r>
    </w:p>
    <w:p w14:paraId="35C142C1" w14:textId="674FF632" w:rsidR="00C86360" w:rsidRDefault="00C1369B" w:rsidP="00B0723F">
      <w:pPr>
        <w:pStyle w:val="ListParagraph"/>
        <w:numPr>
          <w:ilvl w:val="0"/>
          <w:numId w:val="2"/>
        </w:numPr>
        <w:shd w:val="clear" w:color="auto" w:fill="FFFFFF"/>
        <w:spacing w:after="100" w:afterAutospacing="1" w:line="240" w:lineRule="auto"/>
        <w:jc w:val="both"/>
        <w:rPr>
          <w:rFonts w:ascii="Times" w:eastAsia="Times New Roman" w:hAnsi="Times" w:cs="Times New Roman"/>
          <w:color w:val="2D3B45"/>
          <w:szCs w:val="24"/>
        </w:rPr>
      </w:pPr>
      <w:r>
        <w:rPr>
          <w:rFonts w:ascii="Times" w:eastAsia="Times New Roman" w:hAnsi="Times" w:cs="Times New Roman"/>
          <w:color w:val="2D3B45"/>
          <w:szCs w:val="24"/>
        </w:rPr>
        <w:t>Defining the structure and launch plan of the crowdfunding campaign – funding goal, campaign duration, rewards and reward tiers</w:t>
      </w:r>
    </w:p>
    <w:p w14:paraId="0BC8A718" w14:textId="2B91349B" w:rsidR="00C1369B" w:rsidRDefault="00C1369B" w:rsidP="000E66F6">
      <w:pPr>
        <w:pStyle w:val="ListParagraph"/>
        <w:numPr>
          <w:ilvl w:val="0"/>
          <w:numId w:val="2"/>
        </w:numPr>
        <w:shd w:val="clear" w:color="auto" w:fill="FFFFFF"/>
        <w:spacing w:after="100" w:afterAutospacing="1" w:line="240" w:lineRule="auto"/>
        <w:jc w:val="both"/>
        <w:rPr>
          <w:rFonts w:ascii="Times" w:eastAsia="Times New Roman" w:hAnsi="Times" w:cs="Times New Roman"/>
          <w:color w:val="2D3B45"/>
          <w:szCs w:val="24"/>
        </w:rPr>
      </w:pPr>
      <w:r>
        <w:rPr>
          <w:rFonts w:ascii="Times" w:eastAsia="Times New Roman" w:hAnsi="Times" w:cs="Times New Roman"/>
          <w:color w:val="2D3B45"/>
          <w:szCs w:val="24"/>
        </w:rPr>
        <w:t>Providing personalized feedback on the storytelling approach and text used in the campaign. Also guide the creators on videos and images</w:t>
      </w:r>
    </w:p>
    <w:p w14:paraId="069F1720" w14:textId="29C0F951" w:rsidR="009D09FC" w:rsidRPr="00C1369B" w:rsidRDefault="00C1369B" w:rsidP="000E66F6">
      <w:pPr>
        <w:pStyle w:val="ListParagraph"/>
        <w:numPr>
          <w:ilvl w:val="0"/>
          <w:numId w:val="2"/>
        </w:numPr>
        <w:shd w:val="clear" w:color="auto" w:fill="FFFFFF"/>
        <w:spacing w:after="100" w:afterAutospacing="1" w:line="240" w:lineRule="auto"/>
        <w:jc w:val="both"/>
        <w:rPr>
          <w:rFonts w:ascii="Times" w:eastAsia="Times New Roman" w:hAnsi="Times" w:cs="Times New Roman"/>
          <w:color w:val="2D3B45"/>
          <w:szCs w:val="24"/>
        </w:rPr>
      </w:pPr>
      <w:r>
        <w:rPr>
          <w:rFonts w:ascii="Times" w:eastAsia="Times New Roman" w:hAnsi="Times" w:cs="Times New Roman"/>
          <w:color w:val="2D3B45"/>
          <w:szCs w:val="24"/>
        </w:rPr>
        <w:t>Support the creator</w:t>
      </w:r>
      <w:r w:rsidR="00561D75">
        <w:rPr>
          <w:rFonts w:ascii="Times" w:eastAsia="Times New Roman" w:hAnsi="Times" w:cs="Times New Roman"/>
          <w:color w:val="2D3B45"/>
          <w:szCs w:val="24"/>
        </w:rPr>
        <w:t xml:space="preserve">s on marketing and PR activity – primarily, </w:t>
      </w:r>
      <w:r>
        <w:rPr>
          <w:rFonts w:ascii="Times" w:eastAsia="Times New Roman" w:hAnsi="Times" w:cs="Times New Roman"/>
          <w:color w:val="2D3B45"/>
          <w:szCs w:val="24"/>
        </w:rPr>
        <w:t>utilization of social media and other channels for campaign promotion</w:t>
      </w:r>
    </w:p>
    <w:p w14:paraId="3FF24FB6" w14:textId="379ABF17" w:rsidR="00FD008A" w:rsidRPr="00257AAF" w:rsidRDefault="00FD008A" w:rsidP="000E66F6">
      <w:pPr>
        <w:pStyle w:val="Heading1"/>
        <w:spacing w:line="240" w:lineRule="auto"/>
        <w:jc w:val="both"/>
        <w:rPr>
          <w:rFonts w:ascii="Times" w:eastAsia="Times New Roman" w:hAnsi="Times"/>
          <w:b/>
          <w:bCs/>
          <w:color w:val="000000" w:themeColor="text1"/>
          <w:sz w:val="28"/>
          <w:szCs w:val="28"/>
          <w:u w:val="single"/>
        </w:rPr>
      </w:pPr>
      <w:r w:rsidRPr="00257AAF">
        <w:rPr>
          <w:rFonts w:ascii="Times" w:eastAsia="Times New Roman" w:hAnsi="Times"/>
          <w:b/>
          <w:bCs/>
          <w:color w:val="000000" w:themeColor="text1"/>
          <w:sz w:val="28"/>
          <w:szCs w:val="28"/>
          <w:u w:val="single"/>
        </w:rPr>
        <w:t>Importance</w:t>
      </w:r>
    </w:p>
    <w:p w14:paraId="4E8F8712" w14:textId="5B38F7E6" w:rsidR="00DA3436" w:rsidRDefault="00B2577C" w:rsidP="000E66F6">
      <w:pPr>
        <w:spacing w:line="240" w:lineRule="auto"/>
        <w:jc w:val="both"/>
        <w:rPr>
          <w:rFonts w:ascii="Times" w:hAnsi="Times"/>
        </w:rPr>
      </w:pPr>
      <w:r>
        <w:rPr>
          <w:rFonts w:ascii="Times" w:hAnsi="Times"/>
        </w:rPr>
        <w:t>Crowdfunding</w:t>
      </w:r>
      <w:r w:rsidR="00C70242">
        <w:rPr>
          <w:rFonts w:ascii="Times" w:hAnsi="Times"/>
        </w:rPr>
        <w:t xml:space="preserve">, formally defined as </w:t>
      </w:r>
      <w:r w:rsidR="00C70242" w:rsidRPr="00C70242">
        <w:rPr>
          <w:rFonts w:ascii="Times" w:hAnsi="Times"/>
          <w:i/>
          <w:iCs/>
        </w:rPr>
        <w:t>“a method of collecting small contribu­tions through an online funding platform or site from a large number of funders”</w:t>
      </w:r>
      <w:r w:rsidR="00C70242" w:rsidRPr="00C70242">
        <w:rPr>
          <w:rFonts w:ascii="Times" w:hAnsi="Times"/>
        </w:rPr>
        <w:t xml:space="preserve"> (</w:t>
      </w:r>
      <w:r w:rsidR="00C70242">
        <w:rPr>
          <w:rFonts w:ascii="Times" w:hAnsi="Times"/>
        </w:rPr>
        <w:t>Li &amp;</w:t>
      </w:r>
      <w:r w:rsidR="00C70242" w:rsidRPr="00C70242">
        <w:rPr>
          <w:rFonts w:ascii="Times" w:hAnsi="Times"/>
        </w:rPr>
        <w:t xml:space="preserve"> Huang, 2020, p. 85)</w:t>
      </w:r>
      <w:r>
        <w:rPr>
          <w:rFonts w:ascii="Times" w:hAnsi="Times"/>
        </w:rPr>
        <w:t xml:space="preserve"> has emerged as major source of financing for individual creators and businesses alike, with ~ $13.5 billion market size in 2021, which is expected to grow to ~$28.2 billion by 2028</w:t>
      </w:r>
      <w:r w:rsidR="00166780">
        <w:rPr>
          <w:rFonts w:ascii="Times" w:hAnsi="Times"/>
        </w:rPr>
        <w:t xml:space="preserve"> (Globe </w:t>
      </w:r>
      <w:proofErr w:type="spellStart"/>
      <w:r w:rsidR="00166780">
        <w:rPr>
          <w:rFonts w:ascii="Times" w:hAnsi="Times"/>
        </w:rPr>
        <w:t>NewsWire</w:t>
      </w:r>
      <w:proofErr w:type="spellEnd"/>
      <w:r w:rsidR="00166780">
        <w:rPr>
          <w:rFonts w:ascii="Times" w:hAnsi="Times"/>
        </w:rPr>
        <w:t>, 2022). Not only has the crowdfunding topic been of academic research interest with over 140 manuscripts published in the last decade</w:t>
      </w:r>
      <w:r w:rsidR="00DA3436">
        <w:rPr>
          <w:rFonts w:ascii="Times" w:hAnsi="Times"/>
        </w:rPr>
        <w:t xml:space="preserve"> – </w:t>
      </w:r>
      <w:r w:rsidR="00DA3436" w:rsidRPr="00DA3436">
        <w:rPr>
          <w:rFonts w:ascii="Times" w:hAnsi="Times"/>
          <w:b/>
          <w:bCs/>
        </w:rPr>
        <w:t>Appendix A</w:t>
      </w:r>
      <w:r w:rsidR="00DA3436">
        <w:rPr>
          <w:rFonts w:ascii="Times" w:hAnsi="Times"/>
        </w:rPr>
        <w:t xml:space="preserve">, but it has led to development of novel business models primarily aimed at supporting the campaign creators. For instance, the largest rewards-based crowdfunding platform Kickstarter offers the Experts service with the aim that they can leverage their data and experience in working with successful crowdfunding campaigns to the benefit of new creators (Kickstarter, n.d.). </w:t>
      </w:r>
    </w:p>
    <w:p w14:paraId="791FD8FF" w14:textId="1E553AFC" w:rsidR="00FD008A" w:rsidRPr="00F90FDF" w:rsidRDefault="00C1369B" w:rsidP="000E66F6">
      <w:pPr>
        <w:spacing w:line="240" w:lineRule="auto"/>
        <w:jc w:val="both"/>
        <w:rPr>
          <w:rFonts w:ascii="Times" w:hAnsi="Times"/>
        </w:rPr>
      </w:pPr>
      <w:r>
        <w:rPr>
          <w:rFonts w:ascii="Times" w:hAnsi="Times"/>
        </w:rPr>
        <w:tab/>
      </w:r>
      <w:r w:rsidR="002E7F9D">
        <w:rPr>
          <w:rFonts w:ascii="Times" w:hAnsi="Times"/>
        </w:rPr>
        <w:t xml:space="preserve">Interestingly, factors affecting rewards-based crowdfunding outcomes are not consistent across sectors or industries, hence disparate research exists on the analysis of crowdfunding success – such as in music (e.g., Mendes-Da-Silva et al., 2016), restaurants (e.g., </w:t>
      </w:r>
      <w:proofErr w:type="spellStart"/>
      <w:r w:rsidR="002E7F9D">
        <w:rPr>
          <w:rFonts w:ascii="Times" w:hAnsi="Times"/>
        </w:rPr>
        <w:t>Kedas</w:t>
      </w:r>
      <w:proofErr w:type="spellEnd"/>
      <w:r w:rsidR="002E7F9D">
        <w:rPr>
          <w:rFonts w:ascii="Times" w:hAnsi="Times"/>
        </w:rPr>
        <w:t xml:space="preserve"> &amp; Sarkar, 2022), theatre (e.g., Frydrych et al., 2014), among many others. </w:t>
      </w:r>
      <w:r w:rsidR="00C70242">
        <w:rPr>
          <w:rFonts w:ascii="Times" w:hAnsi="Times"/>
        </w:rPr>
        <w:t>We particularly aim to look at sports crowdfunding, as it is a growing niche, with increasing interest from both academicians and practitioners</w:t>
      </w:r>
      <w:r w:rsidR="00561D75">
        <w:rPr>
          <w:rFonts w:ascii="Times" w:hAnsi="Times"/>
        </w:rPr>
        <w:t xml:space="preserve">, and our work might push the current state of knowledge in the sports crowdfunding area and potentially pave way for a new business. </w:t>
      </w:r>
    </w:p>
    <w:p w14:paraId="01D2E4BB" w14:textId="3AA280F7" w:rsidR="00FD008A" w:rsidRPr="00257AAF" w:rsidRDefault="00FD008A" w:rsidP="000E66F6">
      <w:pPr>
        <w:pStyle w:val="Heading1"/>
        <w:spacing w:line="240" w:lineRule="auto"/>
        <w:jc w:val="both"/>
        <w:rPr>
          <w:rFonts w:ascii="Times" w:hAnsi="Times"/>
          <w:b/>
          <w:bCs/>
          <w:color w:val="000000" w:themeColor="text1"/>
          <w:sz w:val="28"/>
          <w:szCs w:val="28"/>
          <w:u w:val="single"/>
        </w:rPr>
      </w:pPr>
      <w:r w:rsidRPr="00257AAF">
        <w:rPr>
          <w:rFonts w:ascii="Times" w:hAnsi="Times"/>
          <w:b/>
          <w:bCs/>
          <w:color w:val="000000" w:themeColor="text1"/>
          <w:sz w:val="28"/>
          <w:szCs w:val="28"/>
          <w:u w:val="single"/>
        </w:rPr>
        <w:t>Data</w:t>
      </w:r>
    </w:p>
    <w:p w14:paraId="38BF2759" w14:textId="02BDB01B" w:rsidR="00146DD9" w:rsidRDefault="00146DD9" w:rsidP="000E66F6">
      <w:pPr>
        <w:spacing w:line="240" w:lineRule="auto"/>
        <w:jc w:val="both"/>
        <w:rPr>
          <w:rFonts w:ascii="Times" w:hAnsi="Times"/>
          <w:color w:val="000000" w:themeColor="text1"/>
        </w:rPr>
      </w:pPr>
      <w:r>
        <w:rPr>
          <w:rFonts w:ascii="Times" w:hAnsi="Times"/>
          <w:color w:val="000000" w:themeColor="text1"/>
        </w:rPr>
        <w:t xml:space="preserve">For the analysis, we have chosen to consider the population of crowdfunding campaigns from the </w:t>
      </w:r>
      <w:proofErr w:type="spellStart"/>
      <w:r w:rsidR="0081345B">
        <w:rPr>
          <w:rFonts w:ascii="Times" w:hAnsi="Times"/>
          <w:color w:val="000000" w:themeColor="text1"/>
        </w:rPr>
        <w:t>SportFunder</w:t>
      </w:r>
      <w:proofErr w:type="spellEnd"/>
      <w:r w:rsidR="0081345B">
        <w:rPr>
          <w:rFonts w:ascii="Times" w:hAnsi="Times"/>
          <w:color w:val="000000" w:themeColor="text1"/>
        </w:rPr>
        <w:t xml:space="preserve"> website</w:t>
      </w:r>
      <w:r w:rsidR="00BE67B8">
        <w:rPr>
          <w:rFonts w:ascii="Times" w:hAnsi="Times"/>
          <w:color w:val="000000" w:themeColor="text1"/>
        </w:rPr>
        <w:t xml:space="preserve"> (</w:t>
      </w:r>
      <w:hyperlink r:id="rId6" w:history="1">
        <w:r w:rsidR="00BE67B8" w:rsidRPr="00F90FDF">
          <w:rPr>
            <w:rStyle w:val="Hyperlink"/>
            <w:rFonts w:ascii="Times" w:hAnsi="Times"/>
          </w:rPr>
          <w:t>https://sportfunder.com/</w:t>
        </w:r>
      </w:hyperlink>
      <w:r w:rsidR="00BE67B8">
        <w:rPr>
          <w:rStyle w:val="Hyperlink"/>
          <w:rFonts w:ascii="Times" w:hAnsi="Times"/>
        </w:rPr>
        <w:t>)</w:t>
      </w:r>
      <w:r w:rsidR="0081345B">
        <w:rPr>
          <w:rFonts w:ascii="Times" w:hAnsi="Times"/>
          <w:color w:val="000000" w:themeColor="text1"/>
        </w:rPr>
        <w:t xml:space="preserve">. It contains campaigns from over </w:t>
      </w:r>
      <w:r w:rsidR="00450589">
        <w:rPr>
          <w:rFonts w:ascii="Times" w:hAnsi="Times"/>
          <w:color w:val="000000" w:themeColor="text1"/>
        </w:rPr>
        <w:t xml:space="preserve">40 countries, with over $2.2 million funds raised on the platform across </w:t>
      </w:r>
      <w:r w:rsidR="004924C7">
        <w:rPr>
          <w:rFonts w:ascii="Times" w:hAnsi="Times"/>
          <w:color w:val="000000" w:themeColor="text1"/>
        </w:rPr>
        <w:t>60+ sports categories</w:t>
      </w:r>
      <w:r w:rsidR="0052607F">
        <w:rPr>
          <w:rFonts w:ascii="Times" w:hAnsi="Times"/>
          <w:color w:val="000000" w:themeColor="text1"/>
        </w:rPr>
        <w:t>, and with over 30,000 supporters</w:t>
      </w:r>
      <w:r w:rsidR="00DA3C9A">
        <w:rPr>
          <w:rFonts w:ascii="Times" w:hAnsi="Times"/>
          <w:color w:val="000000" w:themeColor="text1"/>
        </w:rPr>
        <w:t>. The data corresponds to:</w:t>
      </w:r>
    </w:p>
    <w:p w14:paraId="59519CD5" w14:textId="707D46BD" w:rsidR="00DA3C9A" w:rsidRDefault="00DA3C9A" w:rsidP="000E66F6">
      <w:pPr>
        <w:pStyle w:val="ListParagraph"/>
        <w:numPr>
          <w:ilvl w:val="0"/>
          <w:numId w:val="3"/>
        </w:numPr>
        <w:spacing w:line="240" w:lineRule="auto"/>
        <w:jc w:val="both"/>
        <w:rPr>
          <w:rFonts w:ascii="Times" w:hAnsi="Times"/>
          <w:color w:val="000000" w:themeColor="text1"/>
        </w:rPr>
      </w:pPr>
      <w:r>
        <w:rPr>
          <w:rFonts w:ascii="Times" w:hAnsi="Times"/>
          <w:color w:val="000000" w:themeColor="text1"/>
        </w:rPr>
        <w:t>Campaign metadata – title, creator, location, date, duration, funding goal, funding status</w:t>
      </w:r>
      <w:r w:rsidR="00BE67B8">
        <w:rPr>
          <w:rFonts w:ascii="Times" w:hAnsi="Times"/>
          <w:color w:val="000000" w:themeColor="text1"/>
        </w:rPr>
        <w:t xml:space="preserve"> etc.</w:t>
      </w:r>
    </w:p>
    <w:p w14:paraId="110FC0B7" w14:textId="3BC164A0" w:rsidR="00BE67B8" w:rsidRDefault="00BE67B8" w:rsidP="000E66F6">
      <w:pPr>
        <w:pStyle w:val="ListParagraph"/>
        <w:numPr>
          <w:ilvl w:val="0"/>
          <w:numId w:val="3"/>
        </w:numPr>
        <w:spacing w:line="240" w:lineRule="auto"/>
        <w:jc w:val="both"/>
        <w:rPr>
          <w:rFonts w:ascii="Times" w:hAnsi="Times"/>
          <w:color w:val="000000" w:themeColor="text1"/>
        </w:rPr>
      </w:pPr>
      <w:r>
        <w:rPr>
          <w:rFonts w:ascii="Times" w:hAnsi="Times"/>
          <w:color w:val="000000" w:themeColor="text1"/>
        </w:rPr>
        <w:t>Campaign story – biography, campaign description, video, images etc.</w:t>
      </w:r>
    </w:p>
    <w:p w14:paraId="053E2E7D" w14:textId="7B990322" w:rsidR="00BE67B8" w:rsidRDefault="00BE67B8" w:rsidP="000E66F6">
      <w:pPr>
        <w:pStyle w:val="ListParagraph"/>
        <w:numPr>
          <w:ilvl w:val="0"/>
          <w:numId w:val="3"/>
        </w:numPr>
        <w:spacing w:line="240" w:lineRule="auto"/>
        <w:jc w:val="both"/>
        <w:rPr>
          <w:rFonts w:ascii="Times" w:hAnsi="Times"/>
          <w:color w:val="000000" w:themeColor="text1"/>
        </w:rPr>
      </w:pPr>
      <w:r>
        <w:rPr>
          <w:rFonts w:ascii="Times" w:hAnsi="Times"/>
          <w:color w:val="000000" w:themeColor="text1"/>
        </w:rPr>
        <w:t xml:space="preserve">Rewards – texts of rewards and prices of reward tiers, </w:t>
      </w:r>
    </w:p>
    <w:p w14:paraId="15CB1FC0" w14:textId="536F251C" w:rsidR="00D46F4C" w:rsidRPr="00BE67B8" w:rsidRDefault="00BE67B8" w:rsidP="000E66F6">
      <w:pPr>
        <w:pStyle w:val="ListParagraph"/>
        <w:numPr>
          <w:ilvl w:val="0"/>
          <w:numId w:val="3"/>
        </w:numPr>
        <w:spacing w:line="240" w:lineRule="auto"/>
        <w:jc w:val="both"/>
        <w:rPr>
          <w:rFonts w:ascii="Times" w:hAnsi="Times"/>
          <w:color w:val="000000" w:themeColor="text1"/>
        </w:rPr>
      </w:pPr>
      <w:r>
        <w:rPr>
          <w:rFonts w:ascii="Times" w:hAnsi="Times"/>
          <w:color w:val="000000" w:themeColor="text1"/>
        </w:rPr>
        <w:t xml:space="preserve">Supporters – name, contribution amount, datetime </w:t>
      </w:r>
    </w:p>
    <w:p w14:paraId="655F437D" w14:textId="69EF8B2C" w:rsidR="00FD008A" w:rsidRPr="00257AAF" w:rsidRDefault="00FD008A" w:rsidP="000E66F6">
      <w:pPr>
        <w:pStyle w:val="Heading1"/>
        <w:spacing w:line="240" w:lineRule="auto"/>
        <w:jc w:val="both"/>
        <w:rPr>
          <w:rFonts w:ascii="Times" w:hAnsi="Times"/>
          <w:b/>
          <w:bCs/>
          <w:color w:val="000000" w:themeColor="text1"/>
          <w:sz w:val="28"/>
          <w:szCs w:val="28"/>
          <w:u w:val="single"/>
        </w:rPr>
      </w:pPr>
      <w:r w:rsidRPr="00257AAF">
        <w:rPr>
          <w:rFonts w:ascii="Times" w:hAnsi="Times"/>
          <w:b/>
          <w:bCs/>
          <w:color w:val="000000" w:themeColor="text1"/>
          <w:sz w:val="28"/>
          <w:szCs w:val="28"/>
          <w:u w:val="single"/>
        </w:rPr>
        <w:lastRenderedPageBreak/>
        <w:t>ETL</w:t>
      </w:r>
    </w:p>
    <w:p w14:paraId="4D904E80" w14:textId="48620301" w:rsidR="00BF2A6C" w:rsidRPr="000E66F6" w:rsidRDefault="00BF2A6C" w:rsidP="000E66F6">
      <w:pPr>
        <w:spacing w:line="240" w:lineRule="auto"/>
        <w:jc w:val="both"/>
        <w:rPr>
          <w:rFonts w:ascii="Times" w:hAnsi="Times"/>
        </w:rPr>
      </w:pPr>
      <w:r w:rsidRPr="00BF2A6C">
        <w:rPr>
          <w:rFonts w:ascii="Times" w:hAnsi="Times"/>
          <w:noProof/>
        </w:rPr>
        <w:drawing>
          <wp:inline distT="0" distB="0" distL="0" distR="0" wp14:anchorId="3360D877" wp14:editId="5FFAB252">
            <wp:extent cx="6225529" cy="1951464"/>
            <wp:effectExtent l="0" t="0" r="0" b="444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stretch>
                      <a:fillRect/>
                    </a:stretch>
                  </pic:blipFill>
                  <pic:spPr>
                    <a:xfrm>
                      <a:off x="0" y="0"/>
                      <a:ext cx="6344952" cy="1988899"/>
                    </a:xfrm>
                    <a:prstGeom prst="rect">
                      <a:avLst/>
                    </a:prstGeom>
                  </pic:spPr>
                </pic:pic>
              </a:graphicData>
            </a:graphic>
          </wp:inline>
        </w:drawing>
      </w:r>
    </w:p>
    <w:p w14:paraId="5A70CE86" w14:textId="77777777" w:rsidR="00BF2A6C" w:rsidRPr="004E1EA0" w:rsidRDefault="00BF2A6C" w:rsidP="000E66F6">
      <w:pPr>
        <w:spacing w:line="240" w:lineRule="auto"/>
      </w:pPr>
    </w:p>
    <w:p w14:paraId="5C99F01A" w14:textId="1FD70C61" w:rsidR="005E6C44" w:rsidRPr="000E66F6" w:rsidRDefault="00BF2A6C" w:rsidP="000E66F6">
      <w:pPr>
        <w:pStyle w:val="Heading1"/>
        <w:spacing w:line="240" w:lineRule="auto"/>
        <w:jc w:val="both"/>
        <w:rPr>
          <w:rFonts w:ascii="Times" w:eastAsia="Times New Roman" w:hAnsi="Times"/>
          <w:b/>
          <w:bCs/>
          <w:color w:val="000000" w:themeColor="text1"/>
          <w:sz w:val="28"/>
          <w:szCs w:val="28"/>
        </w:rPr>
      </w:pPr>
      <w:r w:rsidRPr="00257AAF">
        <w:rPr>
          <w:rFonts w:ascii="Times" w:eastAsia="Times New Roman" w:hAnsi="Times"/>
          <w:b/>
          <w:bCs/>
          <w:color w:val="000000" w:themeColor="text1"/>
          <w:sz w:val="28"/>
          <w:szCs w:val="28"/>
          <w:u w:val="single"/>
        </w:rPr>
        <w:t>Team Name</w:t>
      </w:r>
      <w:r w:rsidRPr="000E66F6">
        <w:rPr>
          <w:rFonts w:ascii="Times" w:eastAsia="Times New Roman" w:hAnsi="Times"/>
          <w:b/>
          <w:bCs/>
          <w:color w:val="000000" w:themeColor="text1"/>
          <w:sz w:val="28"/>
          <w:szCs w:val="28"/>
        </w:rPr>
        <w:t>: INVINCIBLE</w:t>
      </w:r>
    </w:p>
    <w:tbl>
      <w:tblPr>
        <w:tblStyle w:val="TableGrid"/>
        <w:tblW w:w="0" w:type="auto"/>
        <w:tblLook w:val="04A0" w:firstRow="1" w:lastRow="0" w:firstColumn="1" w:lastColumn="0" w:noHBand="0" w:noVBand="1"/>
      </w:tblPr>
      <w:tblGrid>
        <w:gridCol w:w="3116"/>
        <w:gridCol w:w="3117"/>
        <w:gridCol w:w="3117"/>
      </w:tblGrid>
      <w:tr w:rsidR="004E1EA0" w14:paraId="78AC18CF" w14:textId="77777777" w:rsidTr="002721D5">
        <w:trPr>
          <w:trHeight w:val="20"/>
        </w:trPr>
        <w:tc>
          <w:tcPr>
            <w:tcW w:w="3116" w:type="dxa"/>
          </w:tcPr>
          <w:p w14:paraId="3C7B9126" w14:textId="2582F382" w:rsidR="004E1EA0" w:rsidRPr="002721D5" w:rsidRDefault="004E1EA0" w:rsidP="000E66F6">
            <w:pPr>
              <w:jc w:val="both"/>
              <w:rPr>
                <w:rFonts w:ascii="Times" w:hAnsi="Times"/>
                <w:b/>
                <w:bCs/>
              </w:rPr>
            </w:pPr>
            <w:r w:rsidRPr="002721D5">
              <w:rPr>
                <w:rFonts w:ascii="Times" w:hAnsi="Times"/>
                <w:b/>
                <w:bCs/>
              </w:rPr>
              <w:t>CWID</w:t>
            </w:r>
          </w:p>
        </w:tc>
        <w:tc>
          <w:tcPr>
            <w:tcW w:w="3117" w:type="dxa"/>
          </w:tcPr>
          <w:p w14:paraId="6B7C21DD" w14:textId="76894CA1" w:rsidR="004E1EA0" w:rsidRPr="002721D5" w:rsidRDefault="004E1EA0" w:rsidP="000E66F6">
            <w:pPr>
              <w:jc w:val="both"/>
              <w:rPr>
                <w:rFonts w:ascii="Times" w:hAnsi="Times"/>
                <w:b/>
                <w:bCs/>
              </w:rPr>
            </w:pPr>
            <w:r w:rsidRPr="002721D5">
              <w:rPr>
                <w:rFonts w:ascii="Times" w:hAnsi="Times"/>
                <w:b/>
                <w:bCs/>
              </w:rPr>
              <w:t>Name</w:t>
            </w:r>
          </w:p>
        </w:tc>
        <w:tc>
          <w:tcPr>
            <w:tcW w:w="3117" w:type="dxa"/>
          </w:tcPr>
          <w:p w14:paraId="142C0AEE" w14:textId="58F0B3E8" w:rsidR="004E1EA0" w:rsidRPr="002721D5" w:rsidRDefault="004E1EA0" w:rsidP="000E66F6">
            <w:pPr>
              <w:jc w:val="both"/>
              <w:rPr>
                <w:rFonts w:ascii="Times" w:hAnsi="Times"/>
                <w:b/>
                <w:bCs/>
              </w:rPr>
            </w:pPr>
            <w:r w:rsidRPr="002721D5">
              <w:rPr>
                <w:rFonts w:ascii="Times" w:hAnsi="Times"/>
                <w:b/>
                <w:bCs/>
              </w:rPr>
              <w:t>Email-ID</w:t>
            </w:r>
          </w:p>
        </w:tc>
      </w:tr>
      <w:tr w:rsidR="004E1EA0" w14:paraId="43E0D3CB" w14:textId="77777777" w:rsidTr="002721D5">
        <w:trPr>
          <w:trHeight w:val="20"/>
        </w:trPr>
        <w:tc>
          <w:tcPr>
            <w:tcW w:w="3116" w:type="dxa"/>
          </w:tcPr>
          <w:p w14:paraId="7D40C0EB" w14:textId="59E247FA" w:rsidR="004E1EA0" w:rsidRDefault="0BB0C6A4" w:rsidP="000E66F6">
            <w:pPr>
              <w:jc w:val="both"/>
              <w:rPr>
                <w:rFonts w:ascii="Times" w:hAnsi="Times"/>
              </w:rPr>
            </w:pPr>
            <w:r w:rsidRPr="662D85C8">
              <w:rPr>
                <w:rFonts w:ascii="Times" w:hAnsi="Times"/>
              </w:rPr>
              <w:t>A20394179</w:t>
            </w:r>
          </w:p>
        </w:tc>
        <w:tc>
          <w:tcPr>
            <w:tcW w:w="3117" w:type="dxa"/>
          </w:tcPr>
          <w:p w14:paraId="3836042A" w14:textId="3150CB7D" w:rsidR="004E1EA0" w:rsidRDefault="004E1EA0" w:rsidP="000E66F6">
            <w:pPr>
              <w:jc w:val="both"/>
              <w:rPr>
                <w:rFonts w:ascii="Times" w:hAnsi="Times"/>
              </w:rPr>
            </w:pPr>
            <w:r>
              <w:rPr>
                <w:rFonts w:ascii="Times" w:hAnsi="Times"/>
              </w:rPr>
              <w:t>Ashutosh Maharana</w:t>
            </w:r>
          </w:p>
        </w:tc>
        <w:tc>
          <w:tcPr>
            <w:tcW w:w="3117" w:type="dxa"/>
          </w:tcPr>
          <w:p w14:paraId="0B4A7E6D" w14:textId="4E417D47" w:rsidR="004E1EA0" w:rsidRDefault="00000000" w:rsidP="000E66F6">
            <w:pPr>
              <w:jc w:val="both"/>
              <w:rPr>
                <w:rFonts w:ascii="Times" w:hAnsi="Times"/>
              </w:rPr>
            </w:pPr>
            <w:hyperlink r:id="rId8" w:history="1">
              <w:r w:rsidR="001C59DA" w:rsidRPr="00AD5381">
                <w:rPr>
                  <w:rStyle w:val="Hyperlink"/>
                  <w:rFonts w:ascii="Times" w:hAnsi="Times"/>
                </w:rPr>
                <w:t>ashutosh.maharana@okstate.edu</w:t>
              </w:r>
            </w:hyperlink>
            <w:r w:rsidR="001C59DA">
              <w:rPr>
                <w:rFonts w:ascii="Times" w:hAnsi="Times"/>
              </w:rPr>
              <w:t xml:space="preserve"> </w:t>
            </w:r>
          </w:p>
        </w:tc>
      </w:tr>
      <w:tr w:rsidR="004E1EA0" w14:paraId="53A30275" w14:textId="77777777" w:rsidTr="002721D5">
        <w:trPr>
          <w:trHeight w:val="20"/>
        </w:trPr>
        <w:tc>
          <w:tcPr>
            <w:tcW w:w="3116" w:type="dxa"/>
          </w:tcPr>
          <w:p w14:paraId="2329F56E" w14:textId="590A0480" w:rsidR="004E1EA0" w:rsidRDefault="001C59DA" w:rsidP="000E66F6">
            <w:pPr>
              <w:jc w:val="both"/>
              <w:rPr>
                <w:rFonts w:ascii="Times" w:hAnsi="Times"/>
              </w:rPr>
            </w:pPr>
            <w:r w:rsidRPr="001C59DA">
              <w:rPr>
                <w:rFonts w:ascii="Times" w:hAnsi="Times"/>
              </w:rPr>
              <w:t>A20392909</w:t>
            </w:r>
          </w:p>
        </w:tc>
        <w:tc>
          <w:tcPr>
            <w:tcW w:w="3117" w:type="dxa"/>
          </w:tcPr>
          <w:p w14:paraId="1BB938E8" w14:textId="2B07DDF1" w:rsidR="004E1EA0" w:rsidRDefault="004E1EA0" w:rsidP="000E66F6">
            <w:pPr>
              <w:jc w:val="both"/>
              <w:rPr>
                <w:rFonts w:ascii="Times" w:hAnsi="Times"/>
              </w:rPr>
            </w:pPr>
            <w:proofErr w:type="spellStart"/>
            <w:r>
              <w:rPr>
                <w:rFonts w:ascii="Times" w:hAnsi="Times"/>
              </w:rPr>
              <w:t>Tharun</w:t>
            </w:r>
            <w:proofErr w:type="spellEnd"/>
            <w:r>
              <w:rPr>
                <w:rFonts w:ascii="Times" w:hAnsi="Times"/>
              </w:rPr>
              <w:t xml:space="preserve"> </w:t>
            </w:r>
            <w:proofErr w:type="spellStart"/>
            <w:r>
              <w:rPr>
                <w:rFonts w:ascii="Times" w:hAnsi="Times"/>
              </w:rPr>
              <w:t>Ponnaganti</w:t>
            </w:r>
            <w:proofErr w:type="spellEnd"/>
          </w:p>
        </w:tc>
        <w:tc>
          <w:tcPr>
            <w:tcW w:w="3117" w:type="dxa"/>
          </w:tcPr>
          <w:p w14:paraId="2BC8DBBF" w14:textId="47AC00CD" w:rsidR="004E1EA0" w:rsidRDefault="00000000" w:rsidP="000E66F6">
            <w:pPr>
              <w:jc w:val="both"/>
              <w:rPr>
                <w:rFonts w:ascii="Times" w:hAnsi="Times"/>
              </w:rPr>
            </w:pPr>
            <w:hyperlink r:id="rId9" w:history="1">
              <w:r w:rsidR="001C59DA" w:rsidRPr="00AD5381">
                <w:rPr>
                  <w:rStyle w:val="Hyperlink"/>
                  <w:rFonts w:ascii="Times" w:hAnsi="Times"/>
                </w:rPr>
                <w:t>tponnag@okstate.edu</w:t>
              </w:r>
            </w:hyperlink>
            <w:r w:rsidR="001C59DA">
              <w:rPr>
                <w:rFonts w:ascii="Times" w:hAnsi="Times"/>
              </w:rPr>
              <w:t xml:space="preserve"> </w:t>
            </w:r>
          </w:p>
        </w:tc>
      </w:tr>
      <w:tr w:rsidR="004E1EA0" w14:paraId="591DBAD2" w14:textId="77777777" w:rsidTr="002721D5">
        <w:trPr>
          <w:trHeight w:val="20"/>
        </w:trPr>
        <w:tc>
          <w:tcPr>
            <w:tcW w:w="3116" w:type="dxa"/>
          </w:tcPr>
          <w:p w14:paraId="0B146C23" w14:textId="6710F52B" w:rsidR="004E1EA0" w:rsidRDefault="002721D5" w:rsidP="000E66F6">
            <w:pPr>
              <w:jc w:val="both"/>
              <w:rPr>
                <w:rFonts w:ascii="Times" w:hAnsi="Times"/>
              </w:rPr>
            </w:pPr>
            <w:r>
              <w:rPr>
                <w:rFonts w:ascii="Times" w:hAnsi="Times"/>
              </w:rPr>
              <w:t>A20400526</w:t>
            </w:r>
          </w:p>
        </w:tc>
        <w:tc>
          <w:tcPr>
            <w:tcW w:w="3117" w:type="dxa"/>
          </w:tcPr>
          <w:p w14:paraId="298538D5" w14:textId="14F18EDA" w:rsidR="004E1EA0" w:rsidRDefault="002721D5" w:rsidP="000E66F6">
            <w:pPr>
              <w:jc w:val="both"/>
              <w:rPr>
                <w:rFonts w:ascii="Times" w:hAnsi="Times"/>
              </w:rPr>
            </w:pPr>
            <w:r>
              <w:rPr>
                <w:rFonts w:ascii="Times" w:hAnsi="Times"/>
              </w:rPr>
              <w:t>Yash Patel</w:t>
            </w:r>
          </w:p>
        </w:tc>
        <w:tc>
          <w:tcPr>
            <w:tcW w:w="3117" w:type="dxa"/>
          </w:tcPr>
          <w:p w14:paraId="76E20D1B" w14:textId="703360C8" w:rsidR="004E1EA0" w:rsidRDefault="00000000" w:rsidP="000E66F6">
            <w:pPr>
              <w:jc w:val="both"/>
              <w:rPr>
                <w:rFonts w:ascii="Times" w:hAnsi="Times"/>
              </w:rPr>
            </w:pPr>
            <w:hyperlink r:id="rId10" w:history="1">
              <w:r w:rsidR="002721D5" w:rsidRPr="00AD5381">
                <w:rPr>
                  <w:rStyle w:val="Hyperlink"/>
                  <w:rFonts w:ascii="Times" w:hAnsi="Times"/>
                </w:rPr>
                <w:t>yash.patel@okstate.edu</w:t>
              </w:r>
            </w:hyperlink>
            <w:r w:rsidR="002721D5">
              <w:rPr>
                <w:rFonts w:ascii="Times" w:hAnsi="Times"/>
              </w:rPr>
              <w:t xml:space="preserve"> </w:t>
            </w:r>
          </w:p>
        </w:tc>
      </w:tr>
      <w:tr w:rsidR="002721D5" w14:paraId="2C6B60BB" w14:textId="77777777" w:rsidTr="002721D5">
        <w:trPr>
          <w:trHeight w:val="20"/>
        </w:trPr>
        <w:tc>
          <w:tcPr>
            <w:tcW w:w="3116" w:type="dxa"/>
          </w:tcPr>
          <w:p w14:paraId="6EADA310" w14:textId="657A4254" w:rsidR="002721D5" w:rsidRDefault="002721D5" w:rsidP="000E66F6">
            <w:pPr>
              <w:jc w:val="both"/>
              <w:rPr>
                <w:rFonts w:ascii="Times" w:hAnsi="Times"/>
              </w:rPr>
            </w:pPr>
            <w:r>
              <w:rPr>
                <w:rFonts w:ascii="Times" w:hAnsi="Times"/>
              </w:rPr>
              <w:t>A20383206</w:t>
            </w:r>
          </w:p>
        </w:tc>
        <w:tc>
          <w:tcPr>
            <w:tcW w:w="3117" w:type="dxa"/>
          </w:tcPr>
          <w:p w14:paraId="16559FDD" w14:textId="2785DFF7" w:rsidR="002721D5" w:rsidRDefault="002721D5" w:rsidP="000E66F6">
            <w:pPr>
              <w:jc w:val="both"/>
              <w:rPr>
                <w:rFonts w:ascii="Times" w:hAnsi="Times"/>
              </w:rPr>
            </w:pPr>
            <w:proofErr w:type="spellStart"/>
            <w:r>
              <w:rPr>
                <w:rFonts w:ascii="Times" w:hAnsi="Times"/>
              </w:rPr>
              <w:t>Satishwar</w:t>
            </w:r>
            <w:proofErr w:type="spellEnd"/>
            <w:r>
              <w:rPr>
                <w:rFonts w:ascii="Times" w:hAnsi="Times"/>
              </w:rPr>
              <w:t xml:space="preserve"> </w:t>
            </w:r>
            <w:proofErr w:type="spellStart"/>
            <w:r>
              <w:rPr>
                <w:rFonts w:ascii="Times" w:hAnsi="Times"/>
              </w:rPr>
              <w:t>Kedas</w:t>
            </w:r>
            <w:proofErr w:type="spellEnd"/>
          </w:p>
        </w:tc>
        <w:tc>
          <w:tcPr>
            <w:tcW w:w="3117" w:type="dxa"/>
          </w:tcPr>
          <w:p w14:paraId="6DE2AF48" w14:textId="491AD996" w:rsidR="002721D5" w:rsidRDefault="00000000" w:rsidP="000E66F6">
            <w:pPr>
              <w:jc w:val="both"/>
              <w:rPr>
                <w:rFonts w:ascii="Times" w:hAnsi="Times"/>
              </w:rPr>
            </w:pPr>
            <w:hyperlink r:id="rId11" w:history="1">
              <w:r w:rsidR="002721D5" w:rsidRPr="00AD5381">
                <w:rPr>
                  <w:rStyle w:val="Hyperlink"/>
                  <w:rFonts w:ascii="Times" w:hAnsi="Times"/>
                </w:rPr>
                <w:t>skedas@okstate.edu</w:t>
              </w:r>
            </w:hyperlink>
          </w:p>
        </w:tc>
      </w:tr>
    </w:tbl>
    <w:p w14:paraId="23176086" w14:textId="77777777" w:rsidR="00EA4866" w:rsidRDefault="00EA4866" w:rsidP="000E66F6">
      <w:pPr>
        <w:spacing w:line="240" w:lineRule="auto"/>
        <w:jc w:val="both"/>
        <w:rPr>
          <w:rFonts w:ascii="Times" w:hAnsi="Times"/>
        </w:rPr>
      </w:pPr>
    </w:p>
    <w:p w14:paraId="10D7721A" w14:textId="587178B3" w:rsidR="0050133B" w:rsidRPr="001B1355" w:rsidRDefault="005E6C44" w:rsidP="000E66F6">
      <w:pPr>
        <w:pStyle w:val="Heading1"/>
        <w:spacing w:line="240" w:lineRule="auto"/>
        <w:jc w:val="both"/>
        <w:rPr>
          <w:rFonts w:ascii="Times" w:eastAsia="Times New Roman" w:hAnsi="Times"/>
          <w:b/>
          <w:bCs/>
          <w:color w:val="000000" w:themeColor="text1"/>
          <w:sz w:val="28"/>
          <w:szCs w:val="28"/>
          <w:u w:val="single"/>
        </w:rPr>
      </w:pPr>
      <w:r w:rsidRPr="001B1355">
        <w:rPr>
          <w:rFonts w:ascii="Times" w:eastAsia="Times New Roman" w:hAnsi="Times"/>
          <w:b/>
          <w:bCs/>
          <w:color w:val="000000" w:themeColor="text1"/>
          <w:sz w:val="28"/>
          <w:szCs w:val="28"/>
          <w:u w:val="single"/>
        </w:rPr>
        <w:t>GitHub Repository</w:t>
      </w:r>
    </w:p>
    <w:p w14:paraId="432EF9B8" w14:textId="37C85CA5" w:rsidR="00166780" w:rsidRDefault="000E3BE3" w:rsidP="000E66F6">
      <w:pPr>
        <w:spacing w:line="240" w:lineRule="auto"/>
        <w:jc w:val="both"/>
        <w:rPr>
          <w:rFonts w:ascii="Times" w:hAnsi="Times"/>
        </w:rPr>
      </w:pPr>
      <w:hyperlink r:id="rId12" w:history="1">
        <w:r w:rsidRPr="00EF6E7F">
          <w:rPr>
            <w:rStyle w:val="Hyperlink"/>
            <w:rFonts w:ascii="Times" w:hAnsi="Times"/>
          </w:rPr>
          <w:t>https://github.com/msis5193-p</w:t>
        </w:r>
        <w:r w:rsidRPr="00EF6E7F">
          <w:rPr>
            <w:rStyle w:val="Hyperlink"/>
            <w:rFonts w:ascii="Times" w:hAnsi="Times"/>
          </w:rPr>
          <w:t>d</w:t>
        </w:r>
        <w:r w:rsidRPr="00EF6E7F">
          <w:rPr>
            <w:rStyle w:val="Hyperlink"/>
            <w:rFonts w:ascii="Times" w:hAnsi="Times"/>
          </w:rPr>
          <w:t>s1-2022fall/project-deliverable-1-invincible</w:t>
        </w:r>
      </w:hyperlink>
    </w:p>
    <w:p w14:paraId="5F136F7A" w14:textId="2DD918FB" w:rsidR="00822A41" w:rsidRPr="001B1355" w:rsidRDefault="002E7F9D" w:rsidP="000E66F6">
      <w:pPr>
        <w:pStyle w:val="Heading1"/>
        <w:spacing w:line="240" w:lineRule="auto"/>
        <w:rPr>
          <w:rFonts w:ascii="Times" w:hAnsi="Times"/>
          <w:b/>
          <w:bCs/>
          <w:color w:val="000000" w:themeColor="text1"/>
          <w:sz w:val="28"/>
          <w:szCs w:val="28"/>
          <w:u w:val="single"/>
        </w:rPr>
      </w:pPr>
      <w:r w:rsidRPr="001B1355">
        <w:rPr>
          <w:rFonts w:ascii="Times" w:hAnsi="Times"/>
          <w:b/>
          <w:bCs/>
          <w:color w:val="000000" w:themeColor="text1"/>
          <w:sz w:val="28"/>
          <w:szCs w:val="28"/>
          <w:u w:val="single"/>
        </w:rPr>
        <w:t>Sources</w:t>
      </w:r>
    </w:p>
    <w:p w14:paraId="19CD2C86" w14:textId="0E500A78" w:rsidR="00822A41" w:rsidRPr="00930111" w:rsidRDefault="00822A41" w:rsidP="000E66F6">
      <w:pPr>
        <w:spacing w:line="240" w:lineRule="auto"/>
        <w:ind w:left="720" w:hanging="720"/>
        <w:jc w:val="both"/>
        <w:rPr>
          <w:rFonts w:ascii="Times" w:hAnsi="Times" w:cs="Arial"/>
          <w:color w:val="222222"/>
          <w:sz w:val="24"/>
          <w:szCs w:val="24"/>
          <w:shd w:val="clear" w:color="auto" w:fill="FFFFFF"/>
        </w:rPr>
      </w:pPr>
      <w:r w:rsidRPr="00930111">
        <w:rPr>
          <w:rFonts w:ascii="Times" w:hAnsi="Times" w:cs="Arial"/>
          <w:color w:val="222222"/>
          <w:sz w:val="24"/>
          <w:szCs w:val="24"/>
          <w:shd w:val="clear" w:color="auto" w:fill="FFFFFF"/>
        </w:rPr>
        <w:t xml:space="preserve">Frydrych, D., Bock, A. J., Kinder, T., &amp; </w:t>
      </w:r>
      <w:proofErr w:type="spellStart"/>
      <w:r w:rsidRPr="00930111">
        <w:rPr>
          <w:rFonts w:ascii="Times" w:hAnsi="Times" w:cs="Arial"/>
          <w:color w:val="222222"/>
          <w:sz w:val="24"/>
          <w:szCs w:val="24"/>
          <w:shd w:val="clear" w:color="auto" w:fill="FFFFFF"/>
        </w:rPr>
        <w:t>Koeck</w:t>
      </w:r>
      <w:proofErr w:type="spellEnd"/>
      <w:r w:rsidRPr="00930111">
        <w:rPr>
          <w:rFonts w:ascii="Times" w:hAnsi="Times" w:cs="Arial"/>
          <w:color w:val="222222"/>
          <w:sz w:val="24"/>
          <w:szCs w:val="24"/>
          <w:shd w:val="clear" w:color="auto" w:fill="FFFFFF"/>
        </w:rPr>
        <w:t>, B. (2014). Exploring entrepreneurial legitimacy in reward-based crowdfunding.</w:t>
      </w:r>
      <w:r w:rsidRPr="00930111">
        <w:rPr>
          <w:rStyle w:val="apple-converted-space"/>
          <w:rFonts w:ascii="Times" w:hAnsi="Times" w:cs="Arial"/>
          <w:color w:val="222222"/>
          <w:sz w:val="24"/>
          <w:szCs w:val="24"/>
          <w:shd w:val="clear" w:color="auto" w:fill="FFFFFF"/>
        </w:rPr>
        <w:t> </w:t>
      </w:r>
      <w:r w:rsidRPr="00930111">
        <w:rPr>
          <w:rFonts w:ascii="Times" w:hAnsi="Times" w:cs="Arial"/>
          <w:i/>
          <w:iCs/>
          <w:color w:val="222222"/>
          <w:sz w:val="24"/>
          <w:szCs w:val="24"/>
        </w:rPr>
        <w:t>Venture capital</w:t>
      </w:r>
      <w:r w:rsidRPr="00930111">
        <w:rPr>
          <w:rFonts w:ascii="Times" w:hAnsi="Times" w:cs="Arial"/>
          <w:color w:val="222222"/>
          <w:sz w:val="24"/>
          <w:szCs w:val="24"/>
          <w:shd w:val="clear" w:color="auto" w:fill="FFFFFF"/>
        </w:rPr>
        <w:t>,</w:t>
      </w:r>
      <w:r w:rsidRPr="00930111">
        <w:rPr>
          <w:rStyle w:val="apple-converted-space"/>
          <w:rFonts w:ascii="Times" w:hAnsi="Times" w:cs="Arial"/>
          <w:color w:val="222222"/>
          <w:sz w:val="24"/>
          <w:szCs w:val="24"/>
          <w:shd w:val="clear" w:color="auto" w:fill="FFFFFF"/>
        </w:rPr>
        <w:t> </w:t>
      </w:r>
      <w:r w:rsidRPr="00930111">
        <w:rPr>
          <w:rFonts w:ascii="Times" w:hAnsi="Times" w:cs="Arial"/>
          <w:i/>
          <w:iCs/>
          <w:color w:val="222222"/>
          <w:sz w:val="24"/>
          <w:szCs w:val="24"/>
        </w:rPr>
        <w:t>16</w:t>
      </w:r>
      <w:r w:rsidRPr="00930111">
        <w:rPr>
          <w:rFonts w:ascii="Times" w:hAnsi="Times" w:cs="Arial"/>
          <w:color w:val="222222"/>
          <w:sz w:val="24"/>
          <w:szCs w:val="24"/>
          <w:shd w:val="clear" w:color="auto" w:fill="FFFFFF"/>
        </w:rPr>
        <w:t>(3), 247-269.</w:t>
      </w:r>
    </w:p>
    <w:p w14:paraId="2FAE4A1A" w14:textId="05AFC816" w:rsidR="00930111" w:rsidRPr="00930111" w:rsidRDefault="00930111" w:rsidP="000E66F6">
      <w:pPr>
        <w:spacing w:line="240" w:lineRule="auto"/>
        <w:ind w:left="720" w:hanging="720"/>
        <w:jc w:val="both"/>
        <w:rPr>
          <w:rFonts w:ascii="Times" w:hAnsi="Times" w:cs="Arial"/>
          <w:color w:val="222222"/>
          <w:sz w:val="24"/>
          <w:szCs w:val="24"/>
          <w:shd w:val="clear" w:color="auto" w:fill="FFFFFF"/>
        </w:rPr>
      </w:pPr>
      <w:r w:rsidRPr="00930111">
        <w:rPr>
          <w:rFonts w:ascii="Times" w:hAnsi="Times" w:cs="Arial"/>
          <w:color w:val="222222"/>
          <w:sz w:val="24"/>
          <w:szCs w:val="24"/>
          <w:shd w:val="clear" w:color="auto" w:fill="FFFFFF"/>
        </w:rPr>
        <w:t xml:space="preserve">Globe Newswire, (April 12, 2022). “Demand for Global Crowdfunding Market Size &amp; Share to Surpass USD 28.2 Billion by 2028, Exhibit a CAGR of 11.8% | Industry Trends, Status, Revenue, Opportunities, Segmentation Analysis &amp; Forecast Report by Facts &amp; Factors”, </w:t>
      </w:r>
      <w:r w:rsidRPr="00930111">
        <w:rPr>
          <w:rFonts w:ascii="Times" w:hAnsi="Times" w:cs="Arial"/>
          <w:i/>
          <w:iCs/>
          <w:color w:val="222222"/>
          <w:sz w:val="24"/>
          <w:szCs w:val="24"/>
          <w:shd w:val="clear" w:color="auto" w:fill="FFFFFF"/>
        </w:rPr>
        <w:t xml:space="preserve">Globe Newswire, </w:t>
      </w:r>
      <w:r w:rsidRPr="00930111">
        <w:rPr>
          <w:rFonts w:ascii="Times" w:hAnsi="Times" w:cs="Arial"/>
          <w:color w:val="222222"/>
          <w:sz w:val="24"/>
          <w:szCs w:val="24"/>
          <w:shd w:val="clear" w:color="auto" w:fill="FFFFFF"/>
        </w:rPr>
        <w:t xml:space="preserve">Retrieved from </w:t>
      </w:r>
      <w:hyperlink r:id="rId13" w:history="1">
        <w:r w:rsidRPr="00930111">
          <w:rPr>
            <w:rStyle w:val="Hyperlink"/>
            <w:rFonts w:ascii="Times" w:hAnsi="Times"/>
            <w:sz w:val="24"/>
            <w:szCs w:val="24"/>
          </w:rPr>
          <w:t>https://www.globenewswire.com/news-release/2022/04/12/2420860/0/en/Demand-for-Global-Crowdfunding-Market-Size-Share-to-Surpass-USD-28-2-Billion-by-2028-Exhibit-a-CAGR-of-11-8-Industry-Trends-Status-Revenue-Opportunities-Segmentation-Analysis-Forec.html</w:t>
        </w:r>
      </w:hyperlink>
      <w:r w:rsidRPr="00930111">
        <w:rPr>
          <w:rFonts w:ascii="Times" w:hAnsi="Times" w:cs="Arial"/>
          <w:color w:val="222222"/>
          <w:sz w:val="24"/>
          <w:szCs w:val="24"/>
          <w:shd w:val="clear" w:color="auto" w:fill="FFFFFF"/>
        </w:rPr>
        <w:t xml:space="preserve"> </w:t>
      </w:r>
    </w:p>
    <w:p w14:paraId="6A7B82D4" w14:textId="7898566C" w:rsidR="00420A75" w:rsidRPr="00930111" w:rsidRDefault="00420A75" w:rsidP="000E66F6">
      <w:pPr>
        <w:spacing w:line="240" w:lineRule="auto"/>
        <w:ind w:left="720" w:hanging="720"/>
        <w:jc w:val="both"/>
        <w:rPr>
          <w:rFonts w:ascii="Times" w:hAnsi="Times" w:cs="Arial"/>
          <w:color w:val="222222"/>
          <w:sz w:val="24"/>
          <w:szCs w:val="24"/>
          <w:shd w:val="clear" w:color="auto" w:fill="FFFFFF"/>
        </w:rPr>
      </w:pPr>
      <w:proofErr w:type="spellStart"/>
      <w:r w:rsidRPr="00930111">
        <w:rPr>
          <w:rFonts w:ascii="Times" w:hAnsi="Times" w:cs="Arial"/>
          <w:color w:val="222222"/>
          <w:sz w:val="24"/>
          <w:szCs w:val="24"/>
          <w:shd w:val="clear" w:color="auto" w:fill="FFFFFF"/>
        </w:rPr>
        <w:t>Kedas</w:t>
      </w:r>
      <w:proofErr w:type="spellEnd"/>
      <w:r w:rsidRPr="00930111">
        <w:rPr>
          <w:rFonts w:ascii="Times" w:hAnsi="Times" w:cs="Arial"/>
          <w:color w:val="222222"/>
          <w:sz w:val="24"/>
          <w:szCs w:val="24"/>
          <w:shd w:val="clear" w:color="auto" w:fill="FFFFFF"/>
        </w:rPr>
        <w:t>, S., &amp; Sarkar, S. (2022). Putting your money where your mouth is–the role of rewards in a value-based understanding of restaurant crowdfunding.</w:t>
      </w:r>
      <w:r w:rsidRPr="00930111">
        <w:rPr>
          <w:rStyle w:val="apple-converted-space"/>
          <w:rFonts w:ascii="Times" w:hAnsi="Times" w:cs="Arial"/>
          <w:color w:val="222222"/>
          <w:sz w:val="24"/>
          <w:szCs w:val="24"/>
          <w:shd w:val="clear" w:color="auto" w:fill="FFFFFF"/>
        </w:rPr>
        <w:t> </w:t>
      </w:r>
      <w:r w:rsidRPr="00930111">
        <w:rPr>
          <w:rFonts w:ascii="Times" w:hAnsi="Times" w:cs="Arial"/>
          <w:i/>
          <w:iCs/>
          <w:color w:val="222222"/>
          <w:sz w:val="24"/>
          <w:szCs w:val="24"/>
        </w:rPr>
        <w:t>International Journal of Contemporary Hospitality Management</w:t>
      </w:r>
      <w:r w:rsidRPr="00930111">
        <w:rPr>
          <w:rFonts w:ascii="Times" w:hAnsi="Times" w:cs="Arial"/>
          <w:color w:val="222222"/>
          <w:sz w:val="24"/>
          <w:szCs w:val="24"/>
          <w:shd w:val="clear" w:color="auto" w:fill="FFFFFF"/>
        </w:rPr>
        <w:t>, (ahead-of-print).</w:t>
      </w:r>
    </w:p>
    <w:p w14:paraId="47836375" w14:textId="4FE41915" w:rsidR="00930111" w:rsidRPr="00930111" w:rsidRDefault="00930111" w:rsidP="000E66F6">
      <w:pPr>
        <w:spacing w:line="240" w:lineRule="auto"/>
        <w:ind w:left="720" w:hanging="720"/>
        <w:jc w:val="both"/>
        <w:rPr>
          <w:rFonts w:ascii="Times" w:hAnsi="Times"/>
          <w:sz w:val="24"/>
          <w:szCs w:val="24"/>
        </w:rPr>
      </w:pPr>
      <w:r w:rsidRPr="00930111">
        <w:rPr>
          <w:rFonts w:ascii="Times" w:hAnsi="Times" w:cs="Arial"/>
          <w:color w:val="222222"/>
          <w:sz w:val="24"/>
          <w:szCs w:val="24"/>
          <w:shd w:val="clear" w:color="auto" w:fill="FFFFFF"/>
        </w:rPr>
        <w:t xml:space="preserve">Kickstarter, (n.d.). “Kickstarter Experts”, Retrieved from </w:t>
      </w:r>
      <w:hyperlink r:id="rId14" w:history="1">
        <w:r w:rsidRPr="00930111">
          <w:rPr>
            <w:rStyle w:val="Hyperlink"/>
            <w:rFonts w:ascii="Times" w:hAnsi="Times"/>
            <w:sz w:val="24"/>
            <w:szCs w:val="24"/>
          </w:rPr>
          <w:t>https://www.kickstarter.com/experts</w:t>
        </w:r>
      </w:hyperlink>
    </w:p>
    <w:p w14:paraId="75B9D361" w14:textId="3E1651D8" w:rsidR="00420A75" w:rsidRPr="00930111" w:rsidRDefault="00C70242" w:rsidP="000E66F6">
      <w:pPr>
        <w:spacing w:line="240" w:lineRule="auto"/>
        <w:ind w:left="720" w:hanging="720"/>
        <w:jc w:val="both"/>
        <w:rPr>
          <w:rFonts w:ascii="Times" w:hAnsi="Times" w:cs="Arial"/>
          <w:color w:val="222222"/>
          <w:sz w:val="24"/>
          <w:szCs w:val="24"/>
          <w:shd w:val="clear" w:color="auto" w:fill="FFFFFF"/>
        </w:rPr>
      </w:pPr>
      <w:r w:rsidRPr="00930111">
        <w:rPr>
          <w:rFonts w:ascii="Times" w:hAnsi="Times" w:cs="Arial"/>
          <w:color w:val="222222"/>
          <w:sz w:val="24"/>
          <w:szCs w:val="24"/>
          <w:shd w:val="clear" w:color="auto" w:fill="FFFFFF"/>
        </w:rPr>
        <w:t>Li, M., &amp; Huang, Y. (2020). Crowdfunding in sport management. In</w:t>
      </w:r>
      <w:r w:rsidRPr="00930111">
        <w:rPr>
          <w:rStyle w:val="apple-converted-space"/>
          <w:rFonts w:ascii="Times" w:hAnsi="Times" w:cs="Arial"/>
          <w:color w:val="222222"/>
          <w:sz w:val="24"/>
          <w:szCs w:val="24"/>
          <w:shd w:val="clear" w:color="auto" w:fill="FFFFFF"/>
        </w:rPr>
        <w:t> </w:t>
      </w:r>
      <w:r w:rsidRPr="00930111">
        <w:rPr>
          <w:rFonts w:ascii="Times" w:hAnsi="Times" w:cs="Arial"/>
          <w:i/>
          <w:iCs/>
          <w:color w:val="222222"/>
          <w:sz w:val="24"/>
          <w:szCs w:val="24"/>
        </w:rPr>
        <w:t>Managing Sport Across Borders</w:t>
      </w:r>
      <w:r w:rsidRPr="00930111">
        <w:rPr>
          <w:rStyle w:val="apple-converted-space"/>
          <w:rFonts w:ascii="Times" w:hAnsi="Times" w:cs="Arial"/>
          <w:color w:val="222222"/>
          <w:sz w:val="24"/>
          <w:szCs w:val="24"/>
          <w:shd w:val="clear" w:color="auto" w:fill="FFFFFF"/>
        </w:rPr>
        <w:t> </w:t>
      </w:r>
      <w:r w:rsidRPr="00930111">
        <w:rPr>
          <w:rFonts w:ascii="Times" w:hAnsi="Times" w:cs="Arial"/>
          <w:color w:val="222222"/>
          <w:sz w:val="24"/>
          <w:szCs w:val="24"/>
          <w:shd w:val="clear" w:color="auto" w:fill="FFFFFF"/>
        </w:rPr>
        <w:t>(pp. 83-100). Routledge.</w:t>
      </w:r>
    </w:p>
    <w:p w14:paraId="7FC40A5D" w14:textId="67563FDE" w:rsidR="000067F3" w:rsidRPr="00257AAF" w:rsidRDefault="002E7F9D" w:rsidP="00257AAF">
      <w:pPr>
        <w:spacing w:line="240" w:lineRule="auto"/>
        <w:ind w:left="720" w:hanging="720"/>
        <w:jc w:val="both"/>
        <w:rPr>
          <w:rFonts w:ascii="Times" w:hAnsi="Times"/>
          <w:sz w:val="24"/>
          <w:szCs w:val="24"/>
        </w:rPr>
      </w:pPr>
      <w:r w:rsidRPr="00930111">
        <w:rPr>
          <w:rFonts w:ascii="Times" w:hAnsi="Times" w:cs="Arial"/>
          <w:color w:val="222222"/>
          <w:sz w:val="24"/>
          <w:szCs w:val="24"/>
          <w:shd w:val="clear" w:color="auto" w:fill="FFFFFF"/>
        </w:rPr>
        <w:t xml:space="preserve">Mendes-Da-Silva, W., </w:t>
      </w:r>
      <w:proofErr w:type="spellStart"/>
      <w:r w:rsidRPr="00930111">
        <w:rPr>
          <w:rFonts w:ascii="Times" w:hAnsi="Times" w:cs="Arial"/>
          <w:color w:val="222222"/>
          <w:sz w:val="24"/>
          <w:szCs w:val="24"/>
          <w:shd w:val="clear" w:color="auto" w:fill="FFFFFF"/>
        </w:rPr>
        <w:t>Rossoni</w:t>
      </w:r>
      <w:proofErr w:type="spellEnd"/>
      <w:r w:rsidRPr="00930111">
        <w:rPr>
          <w:rFonts w:ascii="Times" w:hAnsi="Times" w:cs="Arial"/>
          <w:color w:val="222222"/>
          <w:sz w:val="24"/>
          <w:szCs w:val="24"/>
          <w:shd w:val="clear" w:color="auto" w:fill="FFFFFF"/>
        </w:rPr>
        <w:t xml:space="preserve">, L., Conte, B. S., </w:t>
      </w:r>
      <w:proofErr w:type="spellStart"/>
      <w:r w:rsidRPr="00930111">
        <w:rPr>
          <w:rFonts w:ascii="Times" w:hAnsi="Times" w:cs="Arial"/>
          <w:color w:val="222222"/>
          <w:sz w:val="24"/>
          <w:szCs w:val="24"/>
          <w:shd w:val="clear" w:color="auto" w:fill="FFFFFF"/>
        </w:rPr>
        <w:t>Gattaz</w:t>
      </w:r>
      <w:proofErr w:type="spellEnd"/>
      <w:r w:rsidRPr="00930111">
        <w:rPr>
          <w:rFonts w:ascii="Times" w:hAnsi="Times" w:cs="Arial"/>
          <w:color w:val="222222"/>
          <w:sz w:val="24"/>
          <w:szCs w:val="24"/>
          <w:shd w:val="clear" w:color="auto" w:fill="FFFFFF"/>
        </w:rPr>
        <w:t>, C. C., &amp; Francisco, E. R. (2016). The impacts of fundraising periods and geographic distance on financing music production via crowdfunding in Brazil.</w:t>
      </w:r>
      <w:r w:rsidRPr="00930111">
        <w:rPr>
          <w:rStyle w:val="apple-converted-space"/>
          <w:rFonts w:ascii="Times" w:hAnsi="Times" w:cs="Arial"/>
          <w:color w:val="222222"/>
          <w:sz w:val="24"/>
          <w:szCs w:val="24"/>
          <w:shd w:val="clear" w:color="auto" w:fill="FFFFFF"/>
        </w:rPr>
        <w:t> </w:t>
      </w:r>
      <w:r w:rsidRPr="00930111">
        <w:rPr>
          <w:rFonts w:ascii="Times" w:hAnsi="Times" w:cs="Arial"/>
          <w:i/>
          <w:iCs/>
          <w:color w:val="222222"/>
          <w:sz w:val="24"/>
          <w:szCs w:val="24"/>
        </w:rPr>
        <w:t>Journal of Cultural Economics</w:t>
      </w:r>
      <w:r w:rsidRPr="00930111">
        <w:rPr>
          <w:rFonts w:ascii="Times" w:hAnsi="Times" w:cs="Arial"/>
          <w:color w:val="222222"/>
          <w:sz w:val="24"/>
          <w:szCs w:val="24"/>
          <w:shd w:val="clear" w:color="auto" w:fill="FFFFFF"/>
        </w:rPr>
        <w:t>,</w:t>
      </w:r>
      <w:r w:rsidRPr="00930111">
        <w:rPr>
          <w:rStyle w:val="apple-converted-space"/>
          <w:rFonts w:ascii="Times" w:hAnsi="Times" w:cs="Arial"/>
          <w:color w:val="222222"/>
          <w:sz w:val="24"/>
          <w:szCs w:val="24"/>
          <w:shd w:val="clear" w:color="auto" w:fill="FFFFFF"/>
        </w:rPr>
        <w:t> </w:t>
      </w:r>
      <w:r w:rsidRPr="00930111">
        <w:rPr>
          <w:rFonts w:ascii="Times" w:hAnsi="Times" w:cs="Arial"/>
          <w:i/>
          <w:iCs/>
          <w:color w:val="222222"/>
          <w:sz w:val="24"/>
          <w:szCs w:val="24"/>
        </w:rPr>
        <w:t>40</w:t>
      </w:r>
      <w:r w:rsidRPr="00930111">
        <w:rPr>
          <w:rFonts w:ascii="Times" w:hAnsi="Times" w:cs="Arial"/>
          <w:color w:val="222222"/>
          <w:sz w:val="24"/>
          <w:szCs w:val="24"/>
          <w:shd w:val="clear" w:color="auto" w:fill="FFFFFF"/>
        </w:rPr>
        <w:t>(1), 75-99.</w:t>
      </w:r>
    </w:p>
    <w:p w14:paraId="26CF220C" w14:textId="09F2407B" w:rsidR="00166780" w:rsidRPr="00EA4866" w:rsidRDefault="00166780" w:rsidP="000E66F6">
      <w:pPr>
        <w:pStyle w:val="Heading1"/>
        <w:spacing w:line="240" w:lineRule="auto"/>
        <w:rPr>
          <w:rFonts w:ascii="Times" w:hAnsi="Times"/>
          <w:b/>
          <w:bCs/>
        </w:rPr>
      </w:pPr>
      <w:r w:rsidRPr="00EA4866">
        <w:rPr>
          <w:rFonts w:ascii="Times" w:hAnsi="Times"/>
          <w:b/>
          <w:bCs/>
          <w:color w:val="000000" w:themeColor="text1"/>
        </w:rPr>
        <w:lastRenderedPageBreak/>
        <w:t>Appendix</w:t>
      </w:r>
      <w:r w:rsidR="00EA4866" w:rsidRPr="00EA4866">
        <w:rPr>
          <w:rFonts w:ascii="Times" w:hAnsi="Times"/>
          <w:b/>
          <w:bCs/>
          <w:color w:val="000000" w:themeColor="text1"/>
        </w:rPr>
        <w:t xml:space="preserve"> A</w:t>
      </w:r>
    </w:p>
    <w:tbl>
      <w:tblPr>
        <w:tblW w:w="9485" w:type="dxa"/>
        <w:tblCellMar>
          <w:left w:w="0" w:type="dxa"/>
          <w:right w:w="0" w:type="dxa"/>
        </w:tblCellMar>
        <w:tblLook w:val="04A0" w:firstRow="1" w:lastRow="0" w:firstColumn="1" w:lastColumn="0" w:noHBand="0" w:noVBand="1"/>
      </w:tblPr>
      <w:tblGrid>
        <w:gridCol w:w="4123"/>
        <w:gridCol w:w="530"/>
        <w:gridCol w:w="530"/>
        <w:gridCol w:w="530"/>
        <w:gridCol w:w="530"/>
        <w:gridCol w:w="530"/>
        <w:gridCol w:w="530"/>
        <w:gridCol w:w="530"/>
        <w:gridCol w:w="530"/>
        <w:gridCol w:w="530"/>
        <w:gridCol w:w="592"/>
      </w:tblGrid>
      <w:tr w:rsidR="000067F3" w:rsidRPr="00166780" w14:paraId="37AD0E5D" w14:textId="77777777" w:rsidTr="000067F3">
        <w:trPr>
          <w:trHeight w:val="315"/>
        </w:trPr>
        <w:tc>
          <w:tcPr>
            <w:tcW w:w="4421" w:type="dxa"/>
            <w:tcBorders>
              <w:top w:val="single" w:sz="6" w:space="0" w:color="auto"/>
              <w:left w:val="single" w:sz="6" w:space="0" w:color="auto"/>
              <w:bottom w:val="single" w:sz="6" w:space="0" w:color="auto"/>
              <w:right w:val="single" w:sz="6" w:space="0" w:color="auto"/>
            </w:tcBorders>
            <w:shd w:val="clear" w:color="auto" w:fill="D9E2F3"/>
            <w:tcMar>
              <w:top w:w="0" w:type="dxa"/>
              <w:left w:w="45" w:type="dxa"/>
              <w:bottom w:w="0" w:type="dxa"/>
              <w:right w:w="45" w:type="dxa"/>
            </w:tcMar>
            <w:vAlign w:val="bottom"/>
            <w:hideMark/>
          </w:tcPr>
          <w:p w14:paraId="38F2954F" w14:textId="0B25693E" w:rsidR="00166780" w:rsidRPr="00166780" w:rsidRDefault="00166780" w:rsidP="000E66F6">
            <w:pPr>
              <w:spacing w:after="0" w:line="240" w:lineRule="auto"/>
              <w:rPr>
                <w:rFonts w:ascii="Times" w:eastAsia="Times New Roman" w:hAnsi="Times" w:cs="Calibri"/>
                <w:b/>
                <w:bCs/>
              </w:rPr>
            </w:pPr>
            <w:r w:rsidRPr="007C36F0">
              <w:rPr>
                <w:rFonts w:ascii="Times" w:eastAsia="Times New Roman" w:hAnsi="Times" w:cs="Calibri"/>
                <w:b/>
                <w:bCs/>
              </w:rPr>
              <w:t>Journal</w:t>
            </w:r>
          </w:p>
        </w:tc>
        <w:tc>
          <w:tcPr>
            <w:tcW w:w="110" w:type="dxa"/>
            <w:tcBorders>
              <w:top w:val="single" w:sz="6" w:space="0" w:color="auto"/>
              <w:left w:val="single" w:sz="6" w:space="0" w:color="auto"/>
              <w:bottom w:val="single" w:sz="6" w:space="0" w:color="auto"/>
              <w:right w:val="single" w:sz="6" w:space="0" w:color="auto"/>
            </w:tcBorders>
            <w:shd w:val="clear" w:color="auto" w:fill="D9E2F3"/>
            <w:tcMar>
              <w:top w:w="0" w:type="dxa"/>
              <w:left w:w="45" w:type="dxa"/>
              <w:bottom w:w="0" w:type="dxa"/>
              <w:right w:w="45" w:type="dxa"/>
            </w:tcMar>
            <w:vAlign w:val="bottom"/>
            <w:hideMark/>
          </w:tcPr>
          <w:p w14:paraId="4D56D0A3" w14:textId="77777777" w:rsidR="00166780" w:rsidRPr="00166780" w:rsidRDefault="00166780" w:rsidP="000E66F6">
            <w:pPr>
              <w:spacing w:after="0" w:line="240" w:lineRule="auto"/>
              <w:jc w:val="right"/>
              <w:rPr>
                <w:rFonts w:ascii="Times" w:eastAsia="Times New Roman" w:hAnsi="Times" w:cs="Calibri"/>
                <w:b/>
                <w:bCs/>
              </w:rPr>
            </w:pPr>
            <w:r w:rsidRPr="00166780">
              <w:rPr>
                <w:rFonts w:ascii="Times" w:eastAsia="Times New Roman" w:hAnsi="Times" w:cs="Calibri"/>
                <w:b/>
                <w:bCs/>
              </w:rPr>
              <w:t>2013</w:t>
            </w:r>
          </w:p>
        </w:tc>
        <w:tc>
          <w:tcPr>
            <w:tcW w:w="0" w:type="auto"/>
            <w:tcBorders>
              <w:top w:val="single" w:sz="6" w:space="0" w:color="auto"/>
              <w:left w:val="single" w:sz="6" w:space="0" w:color="auto"/>
              <w:bottom w:val="single" w:sz="6" w:space="0" w:color="auto"/>
              <w:right w:val="single" w:sz="6" w:space="0" w:color="auto"/>
            </w:tcBorders>
            <w:shd w:val="clear" w:color="auto" w:fill="D9E2F3"/>
            <w:tcMar>
              <w:top w:w="0" w:type="dxa"/>
              <w:left w:w="45" w:type="dxa"/>
              <w:bottom w:w="0" w:type="dxa"/>
              <w:right w:w="45" w:type="dxa"/>
            </w:tcMar>
            <w:vAlign w:val="bottom"/>
            <w:hideMark/>
          </w:tcPr>
          <w:p w14:paraId="168EEE5C" w14:textId="77777777" w:rsidR="00166780" w:rsidRPr="00166780" w:rsidRDefault="00166780" w:rsidP="000E66F6">
            <w:pPr>
              <w:spacing w:after="0" w:line="240" w:lineRule="auto"/>
              <w:jc w:val="right"/>
              <w:rPr>
                <w:rFonts w:ascii="Times" w:eastAsia="Times New Roman" w:hAnsi="Times" w:cs="Calibri"/>
                <w:b/>
                <w:bCs/>
              </w:rPr>
            </w:pPr>
            <w:r w:rsidRPr="00166780">
              <w:rPr>
                <w:rFonts w:ascii="Times" w:eastAsia="Times New Roman" w:hAnsi="Times" w:cs="Calibri"/>
                <w:b/>
                <w:bCs/>
              </w:rPr>
              <w:t>2014</w:t>
            </w:r>
          </w:p>
        </w:tc>
        <w:tc>
          <w:tcPr>
            <w:tcW w:w="0" w:type="auto"/>
            <w:tcBorders>
              <w:top w:val="single" w:sz="6" w:space="0" w:color="auto"/>
              <w:left w:val="single" w:sz="6" w:space="0" w:color="auto"/>
              <w:bottom w:val="single" w:sz="6" w:space="0" w:color="auto"/>
              <w:right w:val="single" w:sz="6" w:space="0" w:color="auto"/>
            </w:tcBorders>
            <w:shd w:val="clear" w:color="auto" w:fill="D9E2F3"/>
            <w:tcMar>
              <w:top w:w="0" w:type="dxa"/>
              <w:left w:w="45" w:type="dxa"/>
              <w:bottom w:w="0" w:type="dxa"/>
              <w:right w:w="45" w:type="dxa"/>
            </w:tcMar>
            <w:vAlign w:val="bottom"/>
            <w:hideMark/>
          </w:tcPr>
          <w:p w14:paraId="045AFD8B" w14:textId="77777777" w:rsidR="00166780" w:rsidRPr="00166780" w:rsidRDefault="00166780" w:rsidP="000E66F6">
            <w:pPr>
              <w:spacing w:after="0" w:line="240" w:lineRule="auto"/>
              <w:jc w:val="right"/>
              <w:rPr>
                <w:rFonts w:ascii="Times" w:eastAsia="Times New Roman" w:hAnsi="Times" w:cs="Calibri"/>
                <w:b/>
                <w:bCs/>
              </w:rPr>
            </w:pPr>
            <w:r w:rsidRPr="00166780">
              <w:rPr>
                <w:rFonts w:ascii="Times" w:eastAsia="Times New Roman" w:hAnsi="Times" w:cs="Calibri"/>
                <w:b/>
                <w:bCs/>
              </w:rPr>
              <w:t>2015</w:t>
            </w:r>
          </w:p>
        </w:tc>
        <w:tc>
          <w:tcPr>
            <w:tcW w:w="0" w:type="auto"/>
            <w:tcBorders>
              <w:top w:val="single" w:sz="6" w:space="0" w:color="auto"/>
              <w:left w:val="single" w:sz="6" w:space="0" w:color="auto"/>
              <w:bottom w:val="single" w:sz="6" w:space="0" w:color="auto"/>
              <w:right w:val="single" w:sz="6" w:space="0" w:color="auto"/>
            </w:tcBorders>
            <w:shd w:val="clear" w:color="auto" w:fill="D9E2F3"/>
            <w:tcMar>
              <w:top w:w="0" w:type="dxa"/>
              <w:left w:w="45" w:type="dxa"/>
              <w:bottom w:w="0" w:type="dxa"/>
              <w:right w:w="45" w:type="dxa"/>
            </w:tcMar>
            <w:vAlign w:val="bottom"/>
            <w:hideMark/>
          </w:tcPr>
          <w:p w14:paraId="31BD60DD" w14:textId="77777777" w:rsidR="00166780" w:rsidRPr="00166780" w:rsidRDefault="00166780" w:rsidP="000E66F6">
            <w:pPr>
              <w:spacing w:after="0" w:line="240" w:lineRule="auto"/>
              <w:jc w:val="right"/>
              <w:rPr>
                <w:rFonts w:ascii="Times" w:eastAsia="Times New Roman" w:hAnsi="Times" w:cs="Calibri"/>
                <w:b/>
                <w:bCs/>
              </w:rPr>
            </w:pPr>
            <w:r w:rsidRPr="00166780">
              <w:rPr>
                <w:rFonts w:ascii="Times" w:eastAsia="Times New Roman" w:hAnsi="Times" w:cs="Calibri"/>
                <w:b/>
                <w:bCs/>
              </w:rPr>
              <w:t>2016</w:t>
            </w:r>
          </w:p>
        </w:tc>
        <w:tc>
          <w:tcPr>
            <w:tcW w:w="0" w:type="auto"/>
            <w:tcBorders>
              <w:top w:val="single" w:sz="6" w:space="0" w:color="auto"/>
              <w:left w:val="single" w:sz="6" w:space="0" w:color="auto"/>
              <w:bottom w:val="single" w:sz="6" w:space="0" w:color="auto"/>
              <w:right w:val="single" w:sz="6" w:space="0" w:color="auto"/>
            </w:tcBorders>
            <w:shd w:val="clear" w:color="auto" w:fill="D9E2F3"/>
            <w:tcMar>
              <w:top w:w="0" w:type="dxa"/>
              <w:left w:w="45" w:type="dxa"/>
              <w:bottom w:w="0" w:type="dxa"/>
              <w:right w:w="45" w:type="dxa"/>
            </w:tcMar>
            <w:vAlign w:val="bottom"/>
            <w:hideMark/>
          </w:tcPr>
          <w:p w14:paraId="4939CDEF" w14:textId="77777777" w:rsidR="00166780" w:rsidRPr="00166780" w:rsidRDefault="00166780" w:rsidP="000E66F6">
            <w:pPr>
              <w:spacing w:after="0" w:line="240" w:lineRule="auto"/>
              <w:jc w:val="right"/>
              <w:rPr>
                <w:rFonts w:ascii="Times" w:eastAsia="Times New Roman" w:hAnsi="Times" w:cs="Calibri"/>
                <w:b/>
                <w:bCs/>
              </w:rPr>
            </w:pPr>
            <w:r w:rsidRPr="00166780">
              <w:rPr>
                <w:rFonts w:ascii="Times" w:eastAsia="Times New Roman" w:hAnsi="Times" w:cs="Calibri"/>
                <w:b/>
                <w:bCs/>
              </w:rPr>
              <w:t>2017</w:t>
            </w:r>
          </w:p>
        </w:tc>
        <w:tc>
          <w:tcPr>
            <w:tcW w:w="0" w:type="auto"/>
            <w:tcBorders>
              <w:top w:val="single" w:sz="6" w:space="0" w:color="auto"/>
              <w:left w:val="single" w:sz="6" w:space="0" w:color="auto"/>
              <w:bottom w:val="single" w:sz="6" w:space="0" w:color="auto"/>
              <w:right w:val="single" w:sz="6" w:space="0" w:color="auto"/>
            </w:tcBorders>
            <w:shd w:val="clear" w:color="auto" w:fill="D9E2F3"/>
            <w:tcMar>
              <w:top w:w="0" w:type="dxa"/>
              <w:left w:w="45" w:type="dxa"/>
              <w:bottom w:w="0" w:type="dxa"/>
              <w:right w:w="45" w:type="dxa"/>
            </w:tcMar>
            <w:vAlign w:val="bottom"/>
            <w:hideMark/>
          </w:tcPr>
          <w:p w14:paraId="499E26E3" w14:textId="77777777" w:rsidR="00166780" w:rsidRPr="00166780" w:rsidRDefault="00166780" w:rsidP="000E66F6">
            <w:pPr>
              <w:spacing w:after="0" w:line="240" w:lineRule="auto"/>
              <w:jc w:val="right"/>
              <w:rPr>
                <w:rFonts w:ascii="Times" w:eastAsia="Times New Roman" w:hAnsi="Times" w:cs="Calibri"/>
                <w:b/>
                <w:bCs/>
              </w:rPr>
            </w:pPr>
            <w:r w:rsidRPr="00166780">
              <w:rPr>
                <w:rFonts w:ascii="Times" w:eastAsia="Times New Roman" w:hAnsi="Times" w:cs="Calibri"/>
                <w:b/>
                <w:bCs/>
              </w:rPr>
              <w:t>2018</w:t>
            </w:r>
          </w:p>
        </w:tc>
        <w:tc>
          <w:tcPr>
            <w:tcW w:w="0" w:type="auto"/>
            <w:tcBorders>
              <w:top w:val="single" w:sz="6" w:space="0" w:color="auto"/>
              <w:left w:val="single" w:sz="6" w:space="0" w:color="auto"/>
              <w:bottom w:val="single" w:sz="6" w:space="0" w:color="auto"/>
              <w:right w:val="single" w:sz="6" w:space="0" w:color="auto"/>
            </w:tcBorders>
            <w:shd w:val="clear" w:color="auto" w:fill="D9E2F3"/>
            <w:tcMar>
              <w:top w:w="0" w:type="dxa"/>
              <w:left w:w="45" w:type="dxa"/>
              <w:bottom w:w="0" w:type="dxa"/>
              <w:right w:w="45" w:type="dxa"/>
            </w:tcMar>
            <w:vAlign w:val="bottom"/>
            <w:hideMark/>
          </w:tcPr>
          <w:p w14:paraId="53469CDE" w14:textId="77777777" w:rsidR="00166780" w:rsidRPr="00166780" w:rsidRDefault="00166780" w:rsidP="000E66F6">
            <w:pPr>
              <w:spacing w:after="0" w:line="240" w:lineRule="auto"/>
              <w:jc w:val="right"/>
              <w:rPr>
                <w:rFonts w:ascii="Times" w:eastAsia="Times New Roman" w:hAnsi="Times" w:cs="Calibri"/>
                <w:b/>
                <w:bCs/>
              </w:rPr>
            </w:pPr>
            <w:r w:rsidRPr="00166780">
              <w:rPr>
                <w:rFonts w:ascii="Times" w:eastAsia="Times New Roman" w:hAnsi="Times" w:cs="Calibri"/>
                <w:b/>
                <w:bCs/>
              </w:rPr>
              <w:t>2019</w:t>
            </w:r>
          </w:p>
        </w:tc>
        <w:tc>
          <w:tcPr>
            <w:tcW w:w="0" w:type="auto"/>
            <w:tcBorders>
              <w:top w:val="single" w:sz="6" w:space="0" w:color="auto"/>
              <w:left w:val="single" w:sz="6" w:space="0" w:color="auto"/>
              <w:bottom w:val="single" w:sz="6" w:space="0" w:color="auto"/>
              <w:right w:val="single" w:sz="6" w:space="0" w:color="auto"/>
            </w:tcBorders>
            <w:shd w:val="clear" w:color="auto" w:fill="D9E2F3"/>
            <w:tcMar>
              <w:top w:w="0" w:type="dxa"/>
              <w:left w:w="45" w:type="dxa"/>
              <w:bottom w:w="0" w:type="dxa"/>
              <w:right w:w="45" w:type="dxa"/>
            </w:tcMar>
            <w:vAlign w:val="bottom"/>
            <w:hideMark/>
          </w:tcPr>
          <w:p w14:paraId="56FCD8A6" w14:textId="77777777" w:rsidR="00166780" w:rsidRPr="00166780" w:rsidRDefault="00166780" w:rsidP="000E66F6">
            <w:pPr>
              <w:spacing w:after="0" w:line="240" w:lineRule="auto"/>
              <w:jc w:val="right"/>
              <w:rPr>
                <w:rFonts w:ascii="Times" w:eastAsia="Times New Roman" w:hAnsi="Times" w:cs="Calibri"/>
                <w:b/>
                <w:bCs/>
              </w:rPr>
            </w:pPr>
            <w:r w:rsidRPr="00166780">
              <w:rPr>
                <w:rFonts w:ascii="Times" w:eastAsia="Times New Roman" w:hAnsi="Times" w:cs="Calibri"/>
                <w:b/>
                <w:bCs/>
              </w:rPr>
              <w:t>2020</w:t>
            </w:r>
          </w:p>
        </w:tc>
        <w:tc>
          <w:tcPr>
            <w:tcW w:w="0" w:type="auto"/>
            <w:tcBorders>
              <w:top w:val="single" w:sz="6" w:space="0" w:color="auto"/>
              <w:left w:val="single" w:sz="6" w:space="0" w:color="auto"/>
              <w:bottom w:val="single" w:sz="6" w:space="0" w:color="auto"/>
              <w:right w:val="single" w:sz="6" w:space="0" w:color="auto"/>
            </w:tcBorders>
            <w:shd w:val="clear" w:color="auto" w:fill="D9E2F3"/>
            <w:tcMar>
              <w:top w:w="0" w:type="dxa"/>
              <w:left w:w="45" w:type="dxa"/>
              <w:bottom w:w="0" w:type="dxa"/>
              <w:right w:w="45" w:type="dxa"/>
            </w:tcMar>
            <w:vAlign w:val="bottom"/>
            <w:hideMark/>
          </w:tcPr>
          <w:p w14:paraId="3D1036A4" w14:textId="77777777" w:rsidR="00166780" w:rsidRPr="00166780" w:rsidRDefault="00166780" w:rsidP="000E66F6">
            <w:pPr>
              <w:spacing w:after="0" w:line="240" w:lineRule="auto"/>
              <w:jc w:val="right"/>
              <w:rPr>
                <w:rFonts w:ascii="Times" w:eastAsia="Times New Roman" w:hAnsi="Times" w:cs="Calibri"/>
                <w:b/>
                <w:bCs/>
              </w:rPr>
            </w:pPr>
            <w:r w:rsidRPr="00166780">
              <w:rPr>
                <w:rFonts w:ascii="Times" w:eastAsia="Times New Roman" w:hAnsi="Times" w:cs="Calibri"/>
                <w:b/>
                <w:bCs/>
              </w:rPr>
              <w:t>2021</w:t>
            </w:r>
          </w:p>
        </w:tc>
        <w:tc>
          <w:tcPr>
            <w:tcW w:w="0" w:type="auto"/>
            <w:tcBorders>
              <w:top w:val="single" w:sz="6" w:space="0" w:color="auto"/>
              <w:left w:val="single" w:sz="6" w:space="0" w:color="auto"/>
              <w:bottom w:val="single" w:sz="6" w:space="0" w:color="auto"/>
              <w:right w:val="single" w:sz="6" w:space="0" w:color="auto"/>
            </w:tcBorders>
            <w:shd w:val="clear" w:color="auto" w:fill="D9E2F3"/>
            <w:tcMar>
              <w:top w:w="0" w:type="dxa"/>
              <w:left w:w="45" w:type="dxa"/>
              <w:bottom w:w="0" w:type="dxa"/>
              <w:right w:w="45" w:type="dxa"/>
            </w:tcMar>
            <w:vAlign w:val="bottom"/>
            <w:hideMark/>
          </w:tcPr>
          <w:p w14:paraId="320CFF5B" w14:textId="69C1F44F" w:rsidR="00166780" w:rsidRPr="00166780" w:rsidRDefault="00166780" w:rsidP="000E66F6">
            <w:pPr>
              <w:spacing w:after="0" w:line="240" w:lineRule="auto"/>
              <w:rPr>
                <w:rFonts w:ascii="Times" w:eastAsia="Times New Roman" w:hAnsi="Times" w:cs="Calibri"/>
                <w:b/>
                <w:bCs/>
              </w:rPr>
            </w:pPr>
            <w:r w:rsidRPr="00166780">
              <w:rPr>
                <w:rFonts w:ascii="Times" w:eastAsia="Times New Roman" w:hAnsi="Times" w:cs="Calibri"/>
                <w:b/>
                <w:bCs/>
              </w:rPr>
              <w:t>Total</w:t>
            </w:r>
          </w:p>
        </w:tc>
      </w:tr>
      <w:tr w:rsidR="00166780" w:rsidRPr="00166780" w14:paraId="001B9764" w14:textId="77777777" w:rsidTr="000067F3">
        <w:trPr>
          <w:trHeight w:val="75"/>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0CEA7E"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Computers in Human Behavior</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8C9C0B"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4B3BA5"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3C0721"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EA3CD3"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2C6191"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A7B559"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E4B741"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56FAA0"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D9A6F1"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E624BA"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5</w:t>
            </w:r>
          </w:p>
        </w:tc>
      </w:tr>
      <w:tr w:rsidR="00166780" w:rsidRPr="00166780" w14:paraId="3DB1C620" w14:textId="77777777" w:rsidTr="000067F3">
        <w:trPr>
          <w:trHeight w:val="75"/>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8B8410"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Decision Support Systems</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561E26"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CF72D7"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75968A"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1D36D2"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CD1EE1"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26A309"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496F81"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477C88"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8150FD"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0CBCC0"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13</w:t>
            </w:r>
          </w:p>
        </w:tc>
      </w:tr>
      <w:tr w:rsidR="00166780" w:rsidRPr="00166780" w14:paraId="0BB484D8" w14:textId="77777777" w:rsidTr="000067F3">
        <w:trPr>
          <w:trHeight w:val="165"/>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0A9231"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Energy Economics</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97471A"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8FA076"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0BBDFC"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8454B3"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B21CEF"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0CE8BA"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48CA44"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844A01"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17BDCB"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D8B56A"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2</w:t>
            </w:r>
          </w:p>
        </w:tc>
      </w:tr>
      <w:tr w:rsidR="00166780" w:rsidRPr="00166780" w14:paraId="0309E290" w14:textId="77777777" w:rsidTr="000067F3">
        <w:trPr>
          <w:trHeight w:val="75"/>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591B13"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Entrepreneurship and Regional Development</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70821E"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3C870D"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15C283"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D3C553"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45E1A8"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EEE86F"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57D492"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82D49B"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2329FB"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0E5CC6"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2</w:t>
            </w:r>
          </w:p>
        </w:tc>
      </w:tr>
      <w:tr w:rsidR="00166780" w:rsidRPr="00166780" w14:paraId="64BF8ACC" w14:textId="77777777" w:rsidTr="000067F3">
        <w:trPr>
          <w:trHeight w:val="75"/>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455E7E"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European Economic Review</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46D9BF"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1C5A4B"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C0A3EB"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5D62D0"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A48386"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56B434"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4BE092"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F304EC"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10C14E"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D49E08"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r>
      <w:tr w:rsidR="00166780" w:rsidRPr="00166780" w14:paraId="4C32F583" w14:textId="77777777" w:rsidTr="000067F3">
        <w:trPr>
          <w:trHeight w:val="75"/>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3C918C"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Games and Economic Behavior</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A86EBD"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AD426C"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D9E314"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E958CB"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005E7B"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355C8A"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2BFB63"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57FC53"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77E38E"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618B8A"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r>
      <w:tr w:rsidR="00166780" w:rsidRPr="00166780" w14:paraId="34A032C3" w14:textId="77777777" w:rsidTr="000067F3">
        <w:trPr>
          <w:trHeight w:val="93"/>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018E43"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Government Information Quarterly</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BB7ADB"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64E739"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072A03"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E36052"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F32294"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8233BF"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081821"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92797E"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4B7F8A"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687D6B"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r>
      <w:tr w:rsidR="00166780" w:rsidRPr="00166780" w14:paraId="4CDD9D13" w14:textId="77777777" w:rsidTr="000067F3">
        <w:trPr>
          <w:trHeight w:val="75"/>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C838DD"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Industrial Marketing Management</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3A177B"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A38F11"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B46C29"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A62F32"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6D63E3"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9DC351"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5B020C"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6A5782"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ABE533"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84C09A"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2</w:t>
            </w:r>
          </w:p>
        </w:tc>
      </w:tr>
      <w:tr w:rsidR="00166780" w:rsidRPr="00166780" w14:paraId="1D798674" w14:textId="77777777" w:rsidTr="000067F3">
        <w:trPr>
          <w:trHeight w:val="75"/>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DFC687"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Information and Organization</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D02712"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77CB75"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C53340"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4BFFBB"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9E8ED7"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DA82C8"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D800BB"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A0EA1D"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422EC2"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08823E"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r>
      <w:tr w:rsidR="00166780" w:rsidRPr="00166780" w14:paraId="16CE4801" w14:textId="77777777" w:rsidTr="000067F3">
        <w:trPr>
          <w:trHeight w:val="75"/>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27C26B"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International Business Review</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5A5824"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F42BAE"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3C7A72"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321EC9"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D3E7C7"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6F8035"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962C98"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39BE07"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3BE14B"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3ED06A"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2</w:t>
            </w:r>
          </w:p>
        </w:tc>
      </w:tr>
      <w:tr w:rsidR="00166780" w:rsidRPr="00166780" w14:paraId="64AE41A7" w14:textId="77777777" w:rsidTr="000067F3">
        <w:trPr>
          <w:trHeight w:val="120"/>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AD0B82"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International Journal of Forecasting</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9F3618"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EB1594"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A7BDF5"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2F4F20"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FB4069"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E2E86B"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FB167B"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9A3CB5"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17C54C"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F8AA69"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r>
      <w:tr w:rsidR="00166780" w:rsidRPr="00166780" w14:paraId="2B45C696" w14:textId="77777777" w:rsidTr="000067F3">
        <w:trPr>
          <w:trHeight w:val="309"/>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1996C3"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International Journal of Hospitality Management</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B96A51"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30771A"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55D378"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9E9730"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1AC036"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4CC529"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34A52A"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B10BFA"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258036"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B48456"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r>
      <w:tr w:rsidR="00166780" w:rsidRPr="00166780" w14:paraId="082EBA05" w14:textId="77777777" w:rsidTr="000067F3">
        <w:trPr>
          <w:trHeight w:val="183"/>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E03F30"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International Journal of Human-Computer Studies</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E4CDFB"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BF0334"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EAC6D2"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DA3376"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F53985"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AC5C55"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5F31D9"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082D2C"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B9B491"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5118BB"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r>
      <w:tr w:rsidR="00166780" w:rsidRPr="00166780" w14:paraId="453D6F32" w14:textId="77777777" w:rsidTr="000067F3">
        <w:trPr>
          <w:trHeight w:val="75"/>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A2FD81"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International Review of Financial Analysis</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E3ED5F"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160F22"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4F58FA"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154F8D"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99C12B"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946C81"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13818F"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5E059E"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0A60DB"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327EF5"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r>
      <w:tr w:rsidR="00166780" w:rsidRPr="00166780" w14:paraId="73CE57C2" w14:textId="77777777" w:rsidTr="000067F3">
        <w:trPr>
          <w:trHeight w:val="75"/>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DFA41C"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International Small Business Journal</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A7A2EE"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227FB9"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8A880A"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91CB70"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366DD1"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1FB481"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5CA0F0"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96FC7E"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61376E"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983FA5"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3</w:t>
            </w:r>
          </w:p>
        </w:tc>
      </w:tr>
      <w:tr w:rsidR="00166780" w:rsidRPr="00166780" w14:paraId="42E96DD5" w14:textId="77777777" w:rsidTr="000067F3">
        <w:trPr>
          <w:trHeight w:val="75"/>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099DDE"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Journal of Small Business Management</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FA392B"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70198F"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917538"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4A98E6"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D861D5"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2E14A7"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DB1034"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0963F2"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4C1893"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579B31"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2</w:t>
            </w:r>
          </w:p>
        </w:tc>
      </w:tr>
      <w:tr w:rsidR="00166780" w:rsidRPr="00166780" w14:paraId="5FD79D53" w14:textId="77777777" w:rsidTr="000067F3">
        <w:trPr>
          <w:trHeight w:val="75"/>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2765B7"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Small Business Economics</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75CF15"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963BEA"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8526F8"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34E350"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017191"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6EAB07"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A42634"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5A59A1"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2D4CEE"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ED1F53"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11</w:t>
            </w:r>
          </w:p>
        </w:tc>
      </w:tr>
      <w:tr w:rsidR="00166780" w:rsidRPr="00166780" w14:paraId="5FA0991D" w14:textId="77777777" w:rsidTr="000067F3">
        <w:trPr>
          <w:trHeight w:val="75"/>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BB61D3"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Entrepreneurship, Theory and Practice</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A4D257"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2622A7"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0C52B6"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CDD546"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7BD15E"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1BF56A"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A2BD6B"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49B0E1"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1356A5"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EFC68B"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16</w:t>
            </w:r>
          </w:p>
        </w:tc>
      </w:tr>
      <w:tr w:rsidR="00166780" w:rsidRPr="00166780" w14:paraId="2CB5B493" w14:textId="77777777" w:rsidTr="000067F3">
        <w:trPr>
          <w:trHeight w:val="75"/>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1EC67A"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European Journal of Operational Research</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B10119"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840091"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165E0A"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229BA5"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B9E615"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BC5EA4"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877718"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F0B26D"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F9F037"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81480B"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5</w:t>
            </w:r>
          </w:p>
        </w:tc>
      </w:tr>
      <w:tr w:rsidR="00166780" w:rsidRPr="00166780" w14:paraId="3D645DEE" w14:textId="77777777" w:rsidTr="000067F3">
        <w:trPr>
          <w:trHeight w:val="282"/>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DD386E"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International Journal of Research in Marketing</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CAA350"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E7F540"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B87324"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25EC38"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E3E668"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0AD0E4"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FC7BA4"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2020FC"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9E5EA7"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A2174B"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2</w:t>
            </w:r>
          </w:p>
        </w:tc>
      </w:tr>
      <w:tr w:rsidR="00166780" w:rsidRPr="00166780" w14:paraId="57D8546C" w14:textId="77777777" w:rsidTr="000067F3">
        <w:trPr>
          <w:trHeight w:val="111"/>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744A74"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Journal of Business Venturing</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59198F"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365F7D"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F9FE67"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A16D8B"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F422D8"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E99EE6"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819CA6"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633D87"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3C7136"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CFE030"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17</w:t>
            </w:r>
          </w:p>
        </w:tc>
      </w:tr>
      <w:tr w:rsidR="00166780" w:rsidRPr="00166780" w14:paraId="60212EC3" w14:textId="77777777" w:rsidTr="000067F3">
        <w:trPr>
          <w:trHeight w:val="156"/>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2B9BE9"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Journal of Corporate Finance</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0909F8"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D03E24"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ECDD1F"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EBB36C"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4F02D0"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2BB177"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43FC25"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2CF015"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032AE6"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918827"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9</w:t>
            </w:r>
          </w:p>
        </w:tc>
      </w:tr>
      <w:tr w:rsidR="00166780" w:rsidRPr="00166780" w14:paraId="6A3DFBF2" w14:textId="77777777" w:rsidTr="000067F3">
        <w:trPr>
          <w:trHeight w:val="93"/>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0BCC93"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Journal of Economic Theory</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B40629"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5D15F5"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20214A"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A9B9BA"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46BDA2"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E5B803"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D0FB7F"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4CF7A7"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C58435"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6DA41E"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r>
      <w:tr w:rsidR="00166780" w:rsidRPr="00166780" w14:paraId="615F42AB" w14:textId="77777777" w:rsidTr="000067F3">
        <w:trPr>
          <w:trHeight w:val="75"/>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F76614"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Journal of Management Studies</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13EE13"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A11C74"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CD67E8"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17F9FD"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DE1610"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010B4D"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1B63C1"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CE8595"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E76DE3"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6F6AC1"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r>
      <w:tr w:rsidR="00166780" w:rsidRPr="00166780" w14:paraId="4397665C" w14:textId="77777777" w:rsidTr="000067F3">
        <w:trPr>
          <w:trHeight w:val="75"/>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8D866F"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Journal of Travel Research</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6B0620"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D6BD23"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22B471"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712CE4"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D3F881"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F11FE4"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613C0F"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49C7D8"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846C62"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3EA6F3"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2</w:t>
            </w:r>
          </w:p>
        </w:tc>
      </w:tr>
      <w:tr w:rsidR="00166780" w:rsidRPr="00166780" w14:paraId="144186A3" w14:textId="77777777" w:rsidTr="000067F3">
        <w:trPr>
          <w:trHeight w:val="75"/>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3EA619"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Social Science &amp; Medicine</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76DC48"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ED8FC5"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B15BB2"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17A16C"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9852F8"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B3F0C6"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28BF5C"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4207AF"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2DA78E"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81CA7A"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3</w:t>
            </w:r>
          </w:p>
        </w:tc>
      </w:tr>
      <w:tr w:rsidR="00166780" w:rsidRPr="00166780" w14:paraId="1D5B9C4B" w14:textId="77777777" w:rsidTr="000067F3">
        <w:trPr>
          <w:trHeight w:val="174"/>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D6C64D"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Strategic Entrepreneurship Journal</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823C75"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562F18"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597659"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1E0AE0"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940559"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9DF63C"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FC1989"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6C9063"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EBE3EF"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94039D"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r>
      <w:tr w:rsidR="00166780" w:rsidRPr="00166780" w14:paraId="322C0D7C" w14:textId="77777777" w:rsidTr="000067F3">
        <w:trPr>
          <w:trHeight w:val="75"/>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879F31"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Academy of Management Journal</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F3129D"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1DD584"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9529E7"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7573FD"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EF680F"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77D54D"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3EBA40"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7BE378"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D2519A"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916713"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2</w:t>
            </w:r>
          </w:p>
        </w:tc>
      </w:tr>
      <w:tr w:rsidR="00166780" w:rsidRPr="00166780" w14:paraId="4CC44F5E" w14:textId="77777777" w:rsidTr="000067F3">
        <w:trPr>
          <w:trHeight w:val="75"/>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0E0FC2"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Administrative Science Quarterly</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7F6AC8"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30444F"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B979BF"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804F34"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6B6E48"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72ABAE"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30FEDC"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AE3728"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86CF52"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CC7C2A"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r>
      <w:tr w:rsidR="00166780" w:rsidRPr="00166780" w14:paraId="505E9249" w14:textId="77777777" w:rsidTr="000067F3">
        <w:trPr>
          <w:trHeight w:val="75"/>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25A995"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Information Systems Research</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E78A34"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ADB4E5"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01A463"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0C32B9"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02A4FF"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80908C"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362764"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91D811"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1AF73A"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8B5591"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9</w:t>
            </w:r>
          </w:p>
        </w:tc>
      </w:tr>
      <w:tr w:rsidR="00166780" w:rsidRPr="00166780" w14:paraId="5809EF2C" w14:textId="77777777" w:rsidTr="000067F3">
        <w:trPr>
          <w:trHeight w:val="75"/>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1EE8F6"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Management Science</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DC1B87"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18F50B"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7D6929"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380C49"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3BFD74"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7706B6"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49371B"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D3C91F"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D77A95"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869B8B"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8</w:t>
            </w:r>
          </w:p>
        </w:tc>
      </w:tr>
      <w:tr w:rsidR="00166780" w:rsidRPr="00166780" w14:paraId="207D1317" w14:textId="77777777" w:rsidTr="000067F3">
        <w:trPr>
          <w:trHeight w:val="93"/>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29565C"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MIS Quarterly</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E2C610"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D527F5"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6ABB2C"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9B404E"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FEC874"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5CD4FF"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63FFB9"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5621D1"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5C1EF2"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1C29D1"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4</w:t>
            </w:r>
          </w:p>
        </w:tc>
      </w:tr>
      <w:tr w:rsidR="00166780" w:rsidRPr="00166780" w14:paraId="7067476F" w14:textId="77777777" w:rsidTr="000067F3">
        <w:trPr>
          <w:trHeight w:val="75"/>
        </w:trPr>
        <w:tc>
          <w:tcPr>
            <w:tcW w:w="4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521CDD"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Organization Science</w:t>
            </w:r>
          </w:p>
        </w:tc>
        <w:tc>
          <w:tcPr>
            <w:tcW w:w="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2A3D60"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8165B8"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27EF28"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0E848F"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00302D"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44FA19"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3B836C"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2DA745"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76BE29"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69F84D"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3</w:t>
            </w:r>
          </w:p>
        </w:tc>
      </w:tr>
      <w:tr w:rsidR="00166780" w:rsidRPr="00166780" w14:paraId="3DA05CD5" w14:textId="77777777" w:rsidTr="000067F3">
        <w:trPr>
          <w:trHeight w:val="75"/>
        </w:trPr>
        <w:tc>
          <w:tcPr>
            <w:tcW w:w="4421" w:type="dxa"/>
            <w:tcBorders>
              <w:top w:val="single" w:sz="6" w:space="0" w:color="CCCCCC"/>
              <w:left w:val="single" w:sz="6" w:space="0" w:color="CCCCCC"/>
              <w:bottom w:val="single" w:sz="6" w:space="0" w:color="8EAADB"/>
              <w:right w:val="single" w:sz="6" w:space="0" w:color="CCCCCC"/>
            </w:tcBorders>
            <w:tcMar>
              <w:top w:w="0" w:type="dxa"/>
              <w:left w:w="45" w:type="dxa"/>
              <w:bottom w:w="0" w:type="dxa"/>
              <w:right w:w="45" w:type="dxa"/>
            </w:tcMar>
            <w:vAlign w:val="bottom"/>
            <w:hideMark/>
          </w:tcPr>
          <w:p w14:paraId="452C66A2" w14:textId="77777777" w:rsidR="00166780" w:rsidRPr="00166780" w:rsidRDefault="00166780" w:rsidP="000E66F6">
            <w:pPr>
              <w:spacing w:after="0" w:line="240" w:lineRule="auto"/>
              <w:rPr>
                <w:rFonts w:ascii="Times" w:eastAsia="Times New Roman" w:hAnsi="Times" w:cs="Calibri"/>
              </w:rPr>
            </w:pPr>
            <w:r w:rsidRPr="00166780">
              <w:rPr>
                <w:rFonts w:ascii="Times" w:eastAsia="Times New Roman" w:hAnsi="Times" w:cs="Calibri"/>
              </w:rPr>
              <w:t>Research Policy</w:t>
            </w:r>
          </w:p>
        </w:tc>
        <w:tc>
          <w:tcPr>
            <w:tcW w:w="110" w:type="dxa"/>
            <w:tcBorders>
              <w:top w:val="single" w:sz="6" w:space="0" w:color="CCCCCC"/>
              <w:left w:val="single" w:sz="6" w:space="0" w:color="CCCCCC"/>
              <w:bottom w:val="single" w:sz="6" w:space="0" w:color="8EAADB"/>
              <w:right w:val="single" w:sz="6" w:space="0" w:color="CCCCCC"/>
            </w:tcBorders>
            <w:tcMar>
              <w:top w:w="0" w:type="dxa"/>
              <w:left w:w="45" w:type="dxa"/>
              <w:bottom w:w="0" w:type="dxa"/>
              <w:right w:w="45" w:type="dxa"/>
            </w:tcMar>
            <w:vAlign w:val="bottom"/>
            <w:hideMark/>
          </w:tcPr>
          <w:p w14:paraId="536A31B0" w14:textId="77777777" w:rsidR="00166780" w:rsidRPr="00166780" w:rsidRDefault="00166780" w:rsidP="000E66F6">
            <w:pPr>
              <w:spacing w:after="0" w:line="240" w:lineRule="auto"/>
              <w:rPr>
                <w:rFonts w:ascii="Times" w:eastAsia="Times New Roman" w:hAnsi="Times" w:cs="Calibri"/>
              </w:rPr>
            </w:pPr>
          </w:p>
        </w:tc>
        <w:tc>
          <w:tcPr>
            <w:tcW w:w="0" w:type="auto"/>
            <w:tcBorders>
              <w:top w:val="single" w:sz="6" w:space="0" w:color="CCCCCC"/>
              <w:left w:val="single" w:sz="6" w:space="0" w:color="CCCCCC"/>
              <w:bottom w:val="single" w:sz="6" w:space="0" w:color="8EAADB"/>
              <w:right w:val="single" w:sz="6" w:space="0" w:color="CCCCCC"/>
            </w:tcBorders>
            <w:tcMar>
              <w:top w:w="0" w:type="dxa"/>
              <w:left w:w="45" w:type="dxa"/>
              <w:bottom w:w="0" w:type="dxa"/>
              <w:right w:w="45" w:type="dxa"/>
            </w:tcMar>
            <w:vAlign w:val="bottom"/>
            <w:hideMark/>
          </w:tcPr>
          <w:p w14:paraId="2C0108CD"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8EAADB"/>
              <w:right w:val="single" w:sz="6" w:space="0" w:color="CCCCCC"/>
            </w:tcBorders>
            <w:tcMar>
              <w:top w:w="0" w:type="dxa"/>
              <w:left w:w="45" w:type="dxa"/>
              <w:bottom w:w="0" w:type="dxa"/>
              <w:right w:w="45" w:type="dxa"/>
            </w:tcMar>
            <w:vAlign w:val="bottom"/>
            <w:hideMark/>
          </w:tcPr>
          <w:p w14:paraId="3EBB6E79"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8EAADB"/>
              <w:right w:val="single" w:sz="6" w:space="0" w:color="CCCCCC"/>
            </w:tcBorders>
            <w:tcMar>
              <w:top w:w="0" w:type="dxa"/>
              <w:left w:w="45" w:type="dxa"/>
              <w:bottom w:w="0" w:type="dxa"/>
              <w:right w:w="45" w:type="dxa"/>
            </w:tcMar>
            <w:vAlign w:val="bottom"/>
            <w:hideMark/>
          </w:tcPr>
          <w:p w14:paraId="3789F52B" w14:textId="77777777" w:rsidR="00166780" w:rsidRPr="00166780" w:rsidRDefault="00166780" w:rsidP="000E66F6">
            <w:pPr>
              <w:spacing w:after="0" w:line="240" w:lineRule="auto"/>
              <w:rPr>
                <w:rFonts w:ascii="Times" w:eastAsia="Times New Roman" w:hAnsi="Times" w:cs="Times New Roman"/>
              </w:rPr>
            </w:pPr>
          </w:p>
        </w:tc>
        <w:tc>
          <w:tcPr>
            <w:tcW w:w="0" w:type="auto"/>
            <w:tcBorders>
              <w:top w:val="single" w:sz="6" w:space="0" w:color="CCCCCC"/>
              <w:left w:val="single" w:sz="6" w:space="0" w:color="CCCCCC"/>
              <w:bottom w:val="single" w:sz="6" w:space="0" w:color="8EAADB"/>
              <w:right w:val="single" w:sz="6" w:space="0" w:color="CCCCCC"/>
            </w:tcBorders>
            <w:tcMar>
              <w:top w:w="0" w:type="dxa"/>
              <w:left w:w="45" w:type="dxa"/>
              <w:bottom w:w="0" w:type="dxa"/>
              <w:right w:w="45" w:type="dxa"/>
            </w:tcMar>
            <w:vAlign w:val="bottom"/>
            <w:hideMark/>
          </w:tcPr>
          <w:p w14:paraId="428F4AF6"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3</w:t>
            </w:r>
          </w:p>
        </w:tc>
        <w:tc>
          <w:tcPr>
            <w:tcW w:w="0" w:type="auto"/>
            <w:tcBorders>
              <w:top w:val="single" w:sz="6" w:space="0" w:color="CCCCCC"/>
              <w:left w:val="single" w:sz="6" w:space="0" w:color="CCCCCC"/>
              <w:bottom w:val="single" w:sz="6" w:space="0" w:color="8EAADB"/>
              <w:right w:val="single" w:sz="6" w:space="0" w:color="CCCCCC"/>
            </w:tcBorders>
            <w:tcMar>
              <w:top w:w="0" w:type="dxa"/>
              <w:left w:w="45" w:type="dxa"/>
              <w:bottom w:w="0" w:type="dxa"/>
              <w:right w:w="45" w:type="dxa"/>
            </w:tcMar>
            <w:vAlign w:val="bottom"/>
            <w:hideMark/>
          </w:tcPr>
          <w:p w14:paraId="0E3B9F21"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8EAADB"/>
              <w:right w:val="single" w:sz="6" w:space="0" w:color="CCCCCC"/>
            </w:tcBorders>
            <w:tcMar>
              <w:top w:w="0" w:type="dxa"/>
              <w:left w:w="45" w:type="dxa"/>
              <w:bottom w:w="0" w:type="dxa"/>
              <w:right w:w="45" w:type="dxa"/>
            </w:tcMar>
            <w:vAlign w:val="bottom"/>
            <w:hideMark/>
          </w:tcPr>
          <w:p w14:paraId="20546DB6"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3</w:t>
            </w:r>
          </w:p>
        </w:tc>
        <w:tc>
          <w:tcPr>
            <w:tcW w:w="0" w:type="auto"/>
            <w:tcBorders>
              <w:top w:val="single" w:sz="6" w:space="0" w:color="CCCCCC"/>
              <w:left w:val="single" w:sz="6" w:space="0" w:color="CCCCCC"/>
              <w:bottom w:val="single" w:sz="6" w:space="0" w:color="8EAADB"/>
              <w:right w:val="single" w:sz="6" w:space="0" w:color="CCCCCC"/>
            </w:tcBorders>
            <w:tcMar>
              <w:top w:w="0" w:type="dxa"/>
              <w:left w:w="45" w:type="dxa"/>
              <w:bottom w:w="0" w:type="dxa"/>
              <w:right w:w="45" w:type="dxa"/>
            </w:tcMar>
            <w:vAlign w:val="bottom"/>
            <w:hideMark/>
          </w:tcPr>
          <w:p w14:paraId="6201A5D9" w14:textId="77777777" w:rsidR="00166780" w:rsidRPr="00166780" w:rsidRDefault="00166780" w:rsidP="000E66F6">
            <w:pPr>
              <w:spacing w:after="0" w:line="240" w:lineRule="auto"/>
              <w:jc w:val="right"/>
              <w:rPr>
                <w:rFonts w:ascii="Times" w:eastAsia="Times New Roman" w:hAnsi="Times" w:cs="Calibri"/>
              </w:rPr>
            </w:pPr>
          </w:p>
        </w:tc>
        <w:tc>
          <w:tcPr>
            <w:tcW w:w="0" w:type="auto"/>
            <w:tcBorders>
              <w:top w:val="single" w:sz="6" w:space="0" w:color="CCCCCC"/>
              <w:left w:val="single" w:sz="6" w:space="0" w:color="CCCCCC"/>
              <w:bottom w:val="single" w:sz="6" w:space="0" w:color="8EAADB"/>
              <w:right w:val="single" w:sz="6" w:space="0" w:color="CCCCCC"/>
            </w:tcBorders>
            <w:tcMar>
              <w:top w:w="0" w:type="dxa"/>
              <w:left w:w="45" w:type="dxa"/>
              <w:bottom w:w="0" w:type="dxa"/>
              <w:right w:w="45" w:type="dxa"/>
            </w:tcMar>
            <w:vAlign w:val="bottom"/>
            <w:hideMark/>
          </w:tcPr>
          <w:p w14:paraId="744461A7"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1</w:t>
            </w:r>
          </w:p>
        </w:tc>
        <w:tc>
          <w:tcPr>
            <w:tcW w:w="0" w:type="auto"/>
            <w:tcBorders>
              <w:top w:val="single" w:sz="6" w:space="0" w:color="CCCCCC"/>
              <w:left w:val="single" w:sz="6" w:space="0" w:color="CCCCCC"/>
              <w:bottom w:val="single" w:sz="6" w:space="0" w:color="8EAADB"/>
              <w:right w:val="single" w:sz="6" w:space="0" w:color="CCCCCC"/>
            </w:tcBorders>
            <w:tcMar>
              <w:top w:w="0" w:type="dxa"/>
              <w:left w:w="45" w:type="dxa"/>
              <w:bottom w:w="0" w:type="dxa"/>
              <w:right w:w="45" w:type="dxa"/>
            </w:tcMar>
            <w:vAlign w:val="bottom"/>
            <w:hideMark/>
          </w:tcPr>
          <w:p w14:paraId="7E632C1D" w14:textId="77777777" w:rsidR="00166780" w:rsidRPr="00166780" w:rsidRDefault="00166780" w:rsidP="000E66F6">
            <w:pPr>
              <w:spacing w:after="0" w:line="240" w:lineRule="auto"/>
              <w:jc w:val="right"/>
              <w:rPr>
                <w:rFonts w:ascii="Times" w:eastAsia="Times New Roman" w:hAnsi="Times" w:cs="Calibri"/>
              </w:rPr>
            </w:pPr>
            <w:r w:rsidRPr="00166780">
              <w:rPr>
                <w:rFonts w:ascii="Times" w:eastAsia="Times New Roman" w:hAnsi="Times" w:cs="Calibri"/>
              </w:rPr>
              <w:t>8</w:t>
            </w:r>
          </w:p>
        </w:tc>
      </w:tr>
      <w:tr w:rsidR="000067F3" w:rsidRPr="00166780" w14:paraId="7E2EA817" w14:textId="77777777" w:rsidTr="000067F3">
        <w:trPr>
          <w:trHeight w:val="75"/>
        </w:trPr>
        <w:tc>
          <w:tcPr>
            <w:tcW w:w="4421" w:type="dxa"/>
            <w:tcBorders>
              <w:top w:val="single" w:sz="6" w:space="0" w:color="auto"/>
              <w:left w:val="single" w:sz="6" w:space="0" w:color="auto"/>
              <w:bottom w:val="single" w:sz="6" w:space="0" w:color="auto"/>
              <w:right w:val="single" w:sz="6" w:space="0" w:color="auto"/>
            </w:tcBorders>
            <w:shd w:val="clear" w:color="auto" w:fill="D9E2F3"/>
            <w:tcMar>
              <w:top w:w="0" w:type="dxa"/>
              <w:left w:w="45" w:type="dxa"/>
              <w:bottom w:w="0" w:type="dxa"/>
              <w:right w:w="45" w:type="dxa"/>
            </w:tcMar>
            <w:vAlign w:val="bottom"/>
            <w:hideMark/>
          </w:tcPr>
          <w:p w14:paraId="4C161A70" w14:textId="77777777" w:rsidR="00166780" w:rsidRPr="00166780" w:rsidRDefault="00166780" w:rsidP="000E66F6">
            <w:pPr>
              <w:spacing w:after="0" w:line="240" w:lineRule="auto"/>
              <w:rPr>
                <w:rFonts w:ascii="Times" w:eastAsia="Times New Roman" w:hAnsi="Times" w:cs="Calibri"/>
                <w:b/>
                <w:bCs/>
              </w:rPr>
            </w:pPr>
            <w:r w:rsidRPr="00166780">
              <w:rPr>
                <w:rFonts w:ascii="Times" w:eastAsia="Times New Roman" w:hAnsi="Times" w:cs="Calibri"/>
                <w:b/>
                <w:bCs/>
              </w:rPr>
              <w:t>Grand Total</w:t>
            </w:r>
          </w:p>
        </w:tc>
        <w:tc>
          <w:tcPr>
            <w:tcW w:w="110" w:type="dxa"/>
            <w:tcBorders>
              <w:top w:val="single" w:sz="6" w:space="0" w:color="auto"/>
              <w:left w:val="single" w:sz="6" w:space="0" w:color="auto"/>
              <w:bottom w:val="single" w:sz="6" w:space="0" w:color="auto"/>
              <w:right w:val="single" w:sz="6" w:space="0" w:color="auto"/>
            </w:tcBorders>
            <w:shd w:val="clear" w:color="auto" w:fill="D9E2F3"/>
            <w:tcMar>
              <w:top w:w="0" w:type="dxa"/>
              <w:left w:w="45" w:type="dxa"/>
              <w:bottom w:w="0" w:type="dxa"/>
              <w:right w:w="45" w:type="dxa"/>
            </w:tcMar>
            <w:vAlign w:val="bottom"/>
            <w:hideMark/>
          </w:tcPr>
          <w:p w14:paraId="07012A56" w14:textId="77777777" w:rsidR="00166780" w:rsidRPr="00166780" w:rsidRDefault="00166780" w:rsidP="000E66F6">
            <w:pPr>
              <w:spacing w:after="0" w:line="240" w:lineRule="auto"/>
              <w:jc w:val="right"/>
              <w:rPr>
                <w:rFonts w:ascii="Times" w:eastAsia="Times New Roman" w:hAnsi="Times" w:cs="Calibri"/>
                <w:b/>
                <w:bCs/>
              </w:rPr>
            </w:pPr>
            <w:r w:rsidRPr="00166780">
              <w:rPr>
                <w:rFonts w:ascii="Times" w:eastAsia="Times New Roman" w:hAnsi="Times" w:cs="Calibri"/>
                <w:b/>
                <w:bCs/>
              </w:rPr>
              <w:t>1</w:t>
            </w:r>
          </w:p>
        </w:tc>
        <w:tc>
          <w:tcPr>
            <w:tcW w:w="0" w:type="auto"/>
            <w:tcBorders>
              <w:top w:val="single" w:sz="6" w:space="0" w:color="auto"/>
              <w:left w:val="single" w:sz="6" w:space="0" w:color="auto"/>
              <w:bottom w:val="single" w:sz="6" w:space="0" w:color="auto"/>
              <w:right w:val="single" w:sz="6" w:space="0" w:color="auto"/>
            </w:tcBorders>
            <w:shd w:val="clear" w:color="auto" w:fill="D9E2F3"/>
            <w:tcMar>
              <w:top w:w="0" w:type="dxa"/>
              <w:left w:w="45" w:type="dxa"/>
              <w:bottom w:w="0" w:type="dxa"/>
              <w:right w:w="45" w:type="dxa"/>
            </w:tcMar>
            <w:vAlign w:val="bottom"/>
            <w:hideMark/>
          </w:tcPr>
          <w:p w14:paraId="52C1CB15" w14:textId="77777777" w:rsidR="00166780" w:rsidRPr="00166780" w:rsidRDefault="00166780" w:rsidP="000E66F6">
            <w:pPr>
              <w:spacing w:after="0" w:line="240" w:lineRule="auto"/>
              <w:jc w:val="right"/>
              <w:rPr>
                <w:rFonts w:ascii="Times" w:eastAsia="Times New Roman" w:hAnsi="Times" w:cs="Calibri"/>
                <w:b/>
                <w:bCs/>
              </w:rPr>
            </w:pPr>
            <w:r w:rsidRPr="00166780">
              <w:rPr>
                <w:rFonts w:ascii="Times" w:eastAsia="Times New Roman" w:hAnsi="Times" w:cs="Calibri"/>
                <w:b/>
                <w:bCs/>
              </w:rPr>
              <w:t>4</w:t>
            </w:r>
          </w:p>
        </w:tc>
        <w:tc>
          <w:tcPr>
            <w:tcW w:w="0" w:type="auto"/>
            <w:tcBorders>
              <w:top w:val="single" w:sz="6" w:space="0" w:color="auto"/>
              <w:left w:val="single" w:sz="6" w:space="0" w:color="auto"/>
              <w:bottom w:val="single" w:sz="6" w:space="0" w:color="auto"/>
              <w:right w:val="single" w:sz="6" w:space="0" w:color="auto"/>
            </w:tcBorders>
            <w:shd w:val="clear" w:color="auto" w:fill="D9E2F3"/>
            <w:tcMar>
              <w:top w:w="0" w:type="dxa"/>
              <w:left w:w="45" w:type="dxa"/>
              <w:bottom w:w="0" w:type="dxa"/>
              <w:right w:w="45" w:type="dxa"/>
            </w:tcMar>
            <w:vAlign w:val="bottom"/>
            <w:hideMark/>
          </w:tcPr>
          <w:p w14:paraId="6F98B40D" w14:textId="77777777" w:rsidR="00166780" w:rsidRPr="00166780" w:rsidRDefault="00166780" w:rsidP="000E66F6">
            <w:pPr>
              <w:spacing w:after="0" w:line="240" w:lineRule="auto"/>
              <w:jc w:val="right"/>
              <w:rPr>
                <w:rFonts w:ascii="Times" w:eastAsia="Times New Roman" w:hAnsi="Times" w:cs="Calibri"/>
                <w:b/>
                <w:bCs/>
              </w:rPr>
            </w:pPr>
            <w:r w:rsidRPr="00166780">
              <w:rPr>
                <w:rFonts w:ascii="Times" w:eastAsia="Times New Roman" w:hAnsi="Times" w:cs="Calibri"/>
                <w:b/>
                <w:bCs/>
              </w:rPr>
              <w:t>5</w:t>
            </w:r>
          </w:p>
        </w:tc>
        <w:tc>
          <w:tcPr>
            <w:tcW w:w="0" w:type="auto"/>
            <w:tcBorders>
              <w:top w:val="single" w:sz="6" w:space="0" w:color="auto"/>
              <w:left w:val="single" w:sz="6" w:space="0" w:color="auto"/>
              <w:bottom w:val="single" w:sz="6" w:space="0" w:color="auto"/>
              <w:right w:val="single" w:sz="6" w:space="0" w:color="auto"/>
            </w:tcBorders>
            <w:shd w:val="clear" w:color="auto" w:fill="D9E2F3"/>
            <w:tcMar>
              <w:top w:w="0" w:type="dxa"/>
              <w:left w:w="45" w:type="dxa"/>
              <w:bottom w:w="0" w:type="dxa"/>
              <w:right w:w="45" w:type="dxa"/>
            </w:tcMar>
            <w:vAlign w:val="bottom"/>
            <w:hideMark/>
          </w:tcPr>
          <w:p w14:paraId="5040453E" w14:textId="77777777" w:rsidR="00166780" w:rsidRPr="00166780" w:rsidRDefault="00166780" w:rsidP="000E66F6">
            <w:pPr>
              <w:spacing w:after="0" w:line="240" w:lineRule="auto"/>
              <w:jc w:val="right"/>
              <w:rPr>
                <w:rFonts w:ascii="Times" w:eastAsia="Times New Roman" w:hAnsi="Times" w:cs="Calibri"/>
                <w:b/>
                <w:bCs/>
              </w:rPr>
            </w:pPr>
            <w:r w:rsidRPr="00166780">
              <w:rPr>
                <w:rFonts w:ascii="Times" w:eastAsia="Times New Roman" w:hAnsi="Times" w:cs="Calibri"/>
                <w:b/>
                <w:bCs/>
              </w:rPr>
              <w:t>14</w:t>
            </w:r>
          </w:p>
        </w:tc>
        <w:tc>
          <w:tcPr>
            <w:tcW w:w="0" w:type="auto"/>
            <w:tcBorders>
              <w:top w:val="single" w:sz="6" w:space="0" w:color="auto"/>
              <w:left w:val="single" w:sz="6" w:space="0" w:color="auto"/>
              <w:bottom w:val="single" w:sz="6" w:space="0" w:color="auto"/>
              <w:right w:val="single" w:sz="6" w:space="0" w:color="auto"/>
            </w:tcBorders>
            <w:shd w:val="clear" w:color="auto" w:fill="D9E2F3"/>
            <w:tcMar>
              <w:top w:w="0" w:type="dxa"/>
              <w:left w:w="45" w:type="dxa"/>
              <w:bottom w:w="0" w:type="dxa"/>
              <w:right w:w="45" w:type="dxa"/>
            </w:tcMar>
            <w:vAlign w:val="bottom"/>
            <w:hideMark/>
          </w:tcPr>
          <w:p w14:paraId="4CAD325D" w14:textId="77777777" w:rsidR="00166780" w:rsidRPr="00166780" w:rsidRDefault="00166780" w:rsidP="000E66F6">
            <w:pPr>
              <w:spacing w:after="0" w:line="240" w:lineRule="auto"/>
              <w:jc w:val="right"/>
              <w:rPr>
                <w:rFonts w:ascii="Times" w:eastAsia="Times New Roman" w:hAnsi="Times" w:cs="Calibri"/>
                <w:b/>
                <w:bCs/>
              </w:rPr>
            </w:pPr>
            <w:r w:rsidRPr="00166780">
              <w:rPr>
                <w:rFonts w:ascii="Times" w:eastAsia="Times New Roman" w:hAnsi="Times" w:cs="Calibri"/>
                <w:b/>
                <w:bCs/>
              </w:rPr>
              <w:t>19</w:t>
            </w:r>
          </w:p>
        </w:tc>
        <w:tc>
          <w:tcPr>
            <w:tcW w:w="0" w:type="auto"/>
            <w:tcBorders>
              <w:top w:val="single" w:sz="6" w:space="0" w:color="auto"/>
              <w:left w:val="single" w:sz="6" w:space="0" w:color="auto"/>
              <w:bottom w:val="single" w:sz="6" w:space="0" w:color="auto"/>
              <w:right w:val="single" w:sz="6" w:space="0" w:color="auto"/>
            </w:tcBorders>
            <w:shd w:val="clear" w:color="auto" w:fill="D9E2F3"/>
            <w:tcMar>
              <w:top w:w="0" w:type="dxa"/>
              <w:left w:w="45" w:type="dxa"/>
              <w:bottom w:w="0" w:type="dxa"/>
              <w:right w:w="45" w:type="dxa"/>
            </w:tcMar>
            <w:vAlign w:val="bottom"/>
            <w:hideMark/>
          </w:tcPr>
          <w:p w14:paraId="2B7207A2" w14:textId="77777777" w:rsidR="00166780" w:rsidRPr="00166780" w:rsidRDefault="00166780" w:rsidP="000E66F6">
            <w:pPr>
              <w:spacing w:after="0" w:line="240" w:lineRule="auto"/>
              <w:jc w:val="right"/>
              <w:rPr>
                <w:rFonts w:ascii="Times" w:eastAsia="Times New Roman" w:hAnsi="Times" w:cs="Calibri"/>
                <w:b/>
                <w:bCs/>
              </w:rPr>
            </w:pPr>
            <w:r w:rsidRPr="00166780">
              <w:rPr>
                <w:rFonts w:ascii="Times" w:eastAsia="Times New Roman" w:hAnsi="Times" w:cs="Calibri"/>
                <w:b/>
                <w:bCs/>
              </w:rPr>
              <w:t>25</w:t>
            </w:r>
          </w:p>
        </w:tc>
        <w:tc>
          <w:tcPr>
            <w:tcW w:w="0" w:type="auto"/>
            <w:tcBorders>
              <w:top w:val="single" w:sz="6" w:space="0" w:color="auto"/>
              <w:left w:val="single" w:sz="6" w:space="0" w:color="auto"/>
              <w:bottom w:val="single" w:sz="6" w:space="0" w:color="auto"/>
              <w:right w:val="single" w:sz="6" w:space="0" w:color="auto"/>
            </w:tcBorders>
            <w:shd w:val="clear" w:color="auto" w:fill="D9E2F3"/>
            <w:tcMar>
              <w:top w:w="0" w:type="dxa"/>
              <w:left w:w="45" w:type="dxa"/>
              <w:bottom w:w="0" w:type="dxa"/>
              <w:right w:w="45" w:type="dxa"/>
            </w:tcMar>
            <w:vAlign w:val="bottom"/>
            <w:hideMark/>
          </w:tcPr>
          <w:p w14:paraId="509B9044" w14:textId="77777777" w:rsidR="00166780" w:rsidRPr="00166780" w:rsidRDefault="00166780" w:rsidP="000E66F6">
            <w:pPr>
              <w:spacing w:after="0" w:line="240" w:lineRule="auto"/>
              <w:jc w:val="right"/>
              <w:rPr>
                <w:rFonts w:ascii="Times" w:eastAsia="Times New Roman" w:hAnsi="Times" w:cs="Calibri"/>
                <w:b/>
                <w:bCs/>
              </w:rPr>
            </w:pPr>
            <w:r w:rsidRPr="00166780">
              <w:rPr>
                <w:rFonts w:ascii="Times" w:eastAsia="Times New Roman" w:hAnsi="Times" w:cs="Calibri"/>
                <w:b/>
                <w:bCs/>
              </w:rPr>
              <w:t>28</w:t>
            </w:r>
          </w:p>
        </w:tc>
        <w:tc>
          <w:tcPr>
            <w:tcW w:w="0" w:type="auto"/>
            <w:tcBorders>
              <w:top w:val="single" w:sz="6" w:space="0" w:color="auto"/>
              <w:left w:val="single" w:sz="6" w:space="0" w:color="auto"/>
              <w:bottom w:val="single" w:sz="6" w:space="0" w:color="auto"/>
              <w:right w:val="single" w:sz="6" w:space="0" w:color="auto"/>
            </w:tcBorders>
            <w:shd w:val="clear" w:color="auto" w:fill="D9E2F3"/>
            <w:tcMar>
              <w:top w:w="0" w:type="dxa"/>
              <w:left w:w="45" w:type="dxa"/>
              <w:bottom w:w="0" w:type="dxa"/>
              <w:right w:w="45" w:type="dxa"/>
            </w:tcMar>
            <w:vAlign w:val="bottom"/>
            <w:hideMark/>
          </w:tcPr>
          <w:p w14:paraId="7AFA664D" w14:textId="77777777" w:rsidR="00166780" w:rsidRPr="00166780" w:rsidRDefault="00166780" w:rsidP="000E66F6">
            <w:pPr>
              <w:spacing w:after="0" w:line="240" w:lineRule="auto"/>
              <w:jc w:val="right"/>
              <w:rPr>
                <w:rFonts w:ascii="Times" w:eastAsia="Times New Roman" w:hAnsi="Times" w:cs="Calibri"/>
                <w:b/>
                <w:bCs/>
              </w:rPr>
            </w:pPr>
            <w:r w:rsidRPr="00166780">
              <w:rPr>
                <w:rFonts w:ascii="Times" w:eastAsia="Times New Roman" w:hAnsi="Times" w:cs="Calibri"/>
                <w:b/>
                <w:bCs/>
              </w:rPr>
              <w:t>38</w:t>
            </w:r>
          </w:p>
        </w:tc>
        <w:tc>
          <w:tcPr>
            <w:tcW w:w="0" w:type="auto"/>
            <w:tcBorders>
              <w:top w:val="single" w:sz="6" w:space="0" w:color="auto"/>
              <w:left w:val="single" w:sz="6" w:space="0" w:color="auto"/>
              <w:bottom w:val="single" w:sz="6" w:space="0" w:color="auto"/>
              <w:right w:val="single" w:sz="6" w:space="0" w:color="auto"/>
            </w:tcBorders>
            <w:shd w:val="clear" w:color="auto" w:fill="D9E2F3"/>
            <w:tcMar>
              <w:top w:w="0" w:type="dxa"/>
              <w:left w:w="45" w:type="dxa"/>
              <w:bottom w:w="0" w:type="dxa"/>
              <w:right w:w="45" w:type="dxa"/>
            </w:tcMar>
            <w:vAlign w:val="bottom"/>
            <w:hideMark/>
          </w:tcPr>
          <w:p w14:paraId="7333A3DC" w14:textId="77777777" w:rsidR="00166780" w:rsidRPr="00166780" w:rsidRDefault="00166780" w:rsidP="000E66F6">
            <w:pPr>
              <w:spacing w:after="0" w:line="240" w:lineRule="auto"/>
              <w:jc w:val="right"/>
              <w:rPr>
                <w:rFonts w:ascii="Times" w:eastAsia="Times New Roman" w:hAnsi="Times" w:cs="Calibri"/>
                <w:b/>
                <w:bCs/>
              </w:rPr>
            </w:pPr>
            <w:r w:rsidRPr="00166780">
              <w:rPr>
                <w:rFonts w:ascii="Times" w:eastAsia="Times New Roman" w:hAnsi="Times" w:cs="Calibri"/>
                <w:b/>
                <w:bCs/>
              </w:rPr>
              <w:t>8</w:t>
            </w:r>
          </w:p>
        </w:tc>
        <w:tc>
          <w:tcPr>
            <w:tcW w:w="0" w:type="auto"/>
            <w:tcBorders>
              <w:top w:val="single" w:sz="6" w:space="0" w:color="auto"/>
              <w:left w:val="single" w:sz="6" w:space="0" w:color="auto"/>
              <w:bottom w:val="single" w:sz="6" w:space="0" w:color="auto"/>
              <w:right w:val="single" w:sz="6" w:space="0" w:color="auto"/>
            </w:tcBorders>
            <w:shd w:val="clear" w:color="auto" w:fill="D9E2F3"/>
            <w:tcMar>
              <w:top w:w="0" w:type="dxa"/>
              <w:left w:w="45" w:type="dxa"/>
              <w:bottom w:w="0" w:type="dxa"/>
              <w:right w:w="45" w:type="dxa"/>
            </w:tcMar>
            <w:vAlign w:val="bottom"/>
            <w:hideMark/>
          </w:tcPr>
          <w:p w14:paraId="1F2233EC" w14:textId="77777777" w:rsidR="00166780" w:rsidRPr="00166780" w:rsidRDefault="00166780" w:rsidP="000E66F6">
            <w:pPr>
              <w:spacing w:after="0" w:line="240" w:lineRule="auto"/>
              <w:jc w:val="right"/>
              <w:rPr>
                <w:rFonts w:ascii="Times" w:eastAsia="Times New Roman" w:hAnsi="Times" w:cs="Calibri"/>
                <w:b/>
                <w:bCs/>
              </w:rPr>
            </w:pPr>
            <w:r w:rsidRPr="00166780">
              <w:rPr>
                <w:rFonts w:ascii="Times" w:eastAsia="Times New Roman" w:hAnsi="Times" w:cs="Calibri"/>
                <w:b/>
                <w:bCs/>
              </w:rPr>
              <w:t>142</w:t>
            </w:r>
          </w:p>
        </w:tc>
      </w:tr>
    </w:tbl>
    <w:p w14:paraId="4C5B511D" w14:textId="60C44EDD" w:rsidR="00166780" w:rsidRPr="00F90FDF" w:rsidRDefault="00DA3436" w:rsidP="000E66F6">
      <w:pPr>
        <w:spacing w:line="240" w:lineRule="auto"/>
        <w:jc w:val="both"/>
        <w:rPr>
          <w:rFonts w:ascii="Times" w:hAnsi="Times"/>
        </w:rPr>
      </w:pPr>
      <w:r>
        <w:rPr>
          <w:rFonts w:ascii="Times" w:hAnsi="Times"/>
        </w:rPr>
        <w:t>Author Analysis: Data scraped from the Google Scholar website – for keywords – “crowdfund</w:t>
      </w:r>
      <w:r w:rsidR="00245604">
        <w:rPr>
          <w:rFonts w:ascii="Times" w:hAnsi="Times"/>
        </w:rPr>
        <w:t>*”, “crowd-fund*”, “backer*”, “crowd-lend*”, “</w:t>
      </w:r>
      <w:proofErr w:type="spellStart"/>
      <w:r w:rsidR="00245604">
        <w:rPr>
          <w:rFonts w:ascii="Times" w:hAnsi="Times"/>
        </w:rPr>
        <w:t>crowdlend</w:t>
      </w:r>
      <w:proofErr w:type="spellEnd"/>
      <w:r w:rsidR="00245604">
        <w:rPr>
          <w:rFonts w:ascii="Times" w:hAnsi="Times"/>
        </w:rPr>
        <w:t xml:space="preserve">*”, etc. </w:t>
      </w:r>
    </w:p>
    <w:sectPr w:rsidR="00166780" w:rsidRPr="00F90FDF" w:rsidSect="00F90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6FE7"/>
    <w:multiLevelType w:val="hybridMultilevel"/>
    <w:tmpl w:val="9F586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04659E"/>
    <w:multiLevelType w:val="multilevel"/>
    <w:tmpl w:val="32C6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95C43"/>
    <w:multiLevelType w:val="hybridMultilevel"/>
    <w:tmpl w:val="90440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31303003">
    <w:abstractNumId w:val="1"/>
  </w:num>
  <w:num w:numId="2" w16cid:durableId="1944340841">
    <w:abstractNumId w:val="2"/>
  </w:num>
  <w:num w:numId="3" w16cid:durableId="127210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B3B"/>
    <w:rsid w:val="000067F3"/>
    <w:rsid w:val="00033B65"/>
    <w:rsid w:val="000A610E"/>
    <w:rsid w:val="000A7B40"/>
    <w:rsid w:val="000E3BE3"/>
    <w:rsid w:val="000E66F6"/>
    <w:rsid w:val="000F43AE"/>
    <w:rsid w:val="00121A92"/>
    <w:rsid w:val="00146DD9"/>
    <w:rsid w:val="00166780"/>
    <w:rsid w:val="001B1355"/>
    <w:rsid w:val="001C59DA"/>
    <w:rsid w:val="001C6212"/>
    <w:rsid w:val="001F1A29"/>
    <w:rsid w:val="00245604"/>
    <w:rsid w:val="00257AAF"/>
    <w:rsid w:val="00263C03"/>
    <w:rsid w:val="002721D5"/>
    <w:rsid w:val="002E7F9D"/>
    <w:rsid w:val="00305526"/>
    <w:rsid w:val="0035441F"/>
    <w:rsid w:val="0040373E"/>
    <w:rsid w:val="00420A75"/>
    <w:rsid w:val="00436A13"/>
    <w:rsid w:val="00450589"/>
    <w:rsid w:val="004924C7"/>
    <w:rsid w:val="004E1EA0"/>
    <w:rsid w:val="0050133B"/>
    <w:rsid w:val="00511A11"/>
    <w:rsid w:val="0052607F"/>
    <w:rsid w:val="00546D4D"/>
    <w:rsid w:val="00561D75"/>
    <w:rsid w:val="00592F04"/>
    <w:rsid w:val="005D3368"/>
    <w:rsid w:val="005E6C44"/>
    <w:rsid w:val="0072511E"/>
    <w:rsid w:val="00773BF1"/>
    <w:rsid w:val="007C36F0"/>
    <w:rsid w:val="007F540F"/>
    <w:rsid w:val="0081345B"/>
    <w:rsid w:val="00822A41"/>
    <w:rsid w:val="0084023C"/>
    <w:rsid w:val="00930111"/>
    <w:rsid w:val="009479F7"/>
    <w:rsid w:val="00947FAD"/>
    <w:rsid w:val="009D09FC"/>
    <w:rsid w:val="009D67A1"/>
    <w:rsid w:val="00A174F2"/>
    <w:rsid w:val="00A50B3B"/>
    <w:rsid w:val="00A71703"/>
    <w:rsid w:val="00B0723F"/>
    <w:rsid w:val="00B2577C"/>
    <w:rsid w:val="00B97BF0"/>
    <w:rsid w:val="00BC44FA"/>
    <w:rsid w:val="00BD4633"/>
    <w:rsid w:val="00BE67B8"/>
    <w:rsid w:val="00BF2A6C"/>
    <w:rsid w:val="00C1369B"/>
    <w:rsid w:val="00C5135F"/>
    <w:rsid w:val="00C70242"/>
    <w:rsid w:val="00C86360"/>
    <w:rsid w:val="00C87ACF"/>
    <w:rsid w:val="00CC5B3C"/>
    <w:rsid w:val="00CC763C"/>
    <w:rsid w:val="00D462C1"/>
    <w:rsid w:val="00D46F4C"/>
    <w:rsid w:val="00DA3436"/>
    <w:rsid w:val="00DA3C9A"/>
    <w:rsid w:val="00DB1C17"/>
    <w:rsid w:val="00EA4866"/>
    <w:rsid w:val="00F12841"/>
    <w:rsid w:val="00F90FDF"/>
    <w:rsid w:val="00FD008A"/>
    <w:rsid w:val="0BB0C6A4"/>
    <w:rsid w:val="0CEFAD1B"/>
    <w:rsid w:val="24ABBB6F"/>
    <w:rsid w:val="4C481627"/>
    <w:rsid w:val="662D85C8"/>
    <w:rsid w:val="71BF6D47"/>
    <w:rsid w:val="74B35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AED9"/>
  <w15:chartTrackingRefBased/>
  <w15:docId w15:val="{BEAFF406-C497-D648-A450-4E729042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41F"/>
    <w:pPr>
      <w:spacing w:after="60"/>
    </w:pPr>
    <w:rPr>
      <w:rFonts w:ascii="Lato" w:hAnsi="Lato"/>
    </w:rPr>
  </w:style>
  <w:style w:type="paragraph" w:styleId="Heading1">
    <w:name w:val="heading 1"/>
    <w:basedOn w:val="Normal"/>
    <w:next w:val="Normal"/>
    <w:link w:val="Heading1Char"/>
    <w:uiPriority w:val="9"/>
    <w:qFormat/>
    <w:rsid w:val="0035441F"/>
    <w:pPr>
      <w:keepNext/>
      <w:keepLines/>
      <w:spacing w:before="18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037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sequence-footer-button--previous">
    <w:name w:val="module-sequence-footer-button--previous"/>
    <w:basedOn w:val="DefaultParagraphFont"/>
    <w:rsid w:val="00A50B3B"/>
  </w:style>
  <w:style w:type="character" w:styleId="Hyperlink">
    <w:name w:val="Hyperlink"/>
    <w:basedOn w:val="DefaultParagraphFont"/>
    <w:uiPriority w:val="99"/>
    <w:unhideWhenUsed/>
    <w:rsid w:val="00A50B3B"/>
    <w:rPr>
      <w:color w:val="0000FF"/>
      <w:u w:val="single"/>
    </w:rPr>
  </w:style>
  <w:style w:type="character" w:customStyle="1" w:styleId="module-sequence-footer-button--next">
    <w:name w:val="module-sequence-footer-button--next"/>
    <w:basedOn w:val="DefaultParagraphFont"/>
    <w:rsid w:val="00A50B3B"/>
  </w:style>
  <w:style w:type="character" w:customStyle="1" w:styleId="Heading2Char">
    <w:name w:val="Heading 2 Char"/>
    <w:basedOn w:val="DefaultParagraphFont"/>
    <w:link w:val="Heading2"/>
    <w:uiPriority w:val="9"/>
    <w:rsid w:val="0040373E"/>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5E6C44"/>
    <w:rPr>
      <w:color w:val="605E5C"/>
      <w:shd w:val="clear" w:color="auto" w:fill="E1DFDD"/>
    </w:rPr>
  </w:style>
  <w:style w:type="character" w:customStyle="1" w:styleId="Heading1Char">
    <w:name w:val="Heading 1 Char"/>
    <w:basedOn w:val="DefaultParagraphFont"/>
    <w:link w:val="Heading1"/>
    <w:uiPriority w:val="9"/>
    <w:rsid w:val="0035441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0133B"/>
    <w:pPr>
      <w:spacing w:after="0" w:line="240" w:lineRule="auto"/>
    </w:pPr>
    <w:rPr>
      <w:rFonts w:ascii="Lato" w:hAnsi="Lato"/>
      <w:sz w:val="24"/>
    </w:rPr>
  </w:style>
  <w:style w:type="paragraph" w:styleId="ListParagraph">
    <w:name w:val="List Paragraph"/>
    <w:basedOn w:val="Normal"/>
    <w:uiPriority w:val="34"/>
    <w:qFormat/>
    <w:rsid w:val="00C1369B"/>
    <w:pPr>
      <w:ind w:left="720"/>
      <w:contextualSpacing/>
    </w:pPr>
  </w:style>
  <w:style w:type="character" w:customStyle="1" w:styleId="apple-converted-space">
    <w:name w:val="apple-converted-space"/>
    <w:basedOn w:val="DefaultParagraphFont"/>
    <w:rsid w:val="002E7F9D"/>
  </w:style>
  <w:style w:type="table" w:styleId="TableGrid">
    <w:name w:val="Table Grid"/>
    <w:basedOn w:val="TableNormal"/>
    <w:uiPriority w:val="39"/>
    <w:rsid w:val="004E1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3C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8947">
      <w:bodyDiv w:val="1"/>
      <w:marLeft w:val="0"/>
      <w:marRight w:val="0"/>
      <w:marTop w:val="0"/>
      <w:marBottom w:val="0"/>
      <w:divBdr>
        <w:top w:val="none" w:sz="0" w:space="0" w:color="auto"/>
        <w:left w:val="none" w:sz="0" w:space="0" w:color="auto"/>
        <w:bottom w:val="none" w:sz="0" w:space="0" w:color="auto"/>
        <w:right w:val="none" w:sz="0" w:space="0" w:color="auto"/>
      </w:divBdr>
    </w:div>
    <w:div w:id="1302729987">
      <w:bodyDiv w:val="1"/>
      <w:marLeft w:val="0"/>
      <w:marRight w:val="0"/>
      <w:marTop w:val="0"/>
      <w:marBottom w:val="0"/>
      <w:divBdr>
        <w:top w:val="none" w:sz="0" w:space="0" w:color="auto"/>
        <w:left w:val="none" w:sz="0" w:space="0" w:color="auto"/>
        <w:bottom w:val="none" w:sz="0" w:space="0" w:color="auto"/>
        <w:right w:val="none" w:sz="0" w:space="0" w:color="auto"/>
      </w:divBdr>
      <w:divsChild>
        <w:div w:id="1734305807">
          <w:marLeft w:val="0"/>
          <w:marRight w:val="0"/>
          <w:marTop w:val="0"/>
          <w:marBottom w:val="0"/>
          <w:divBdr>
            <w:top w:val="none" w:sz="0" w:space="0" w:color="auto"/>
            <w:left w:val="none" w:sz="0" w:space="0" w:color="auto"/>
            <w:bottom w:val="none" w:sz="0" w:space="0" w:color="auto"/>
            <w:right w:val="none" w:sz="0" w:space="0" w:color="auto"/>
          </w:divBdr>
          <w:divsChild>
            <w:div w:id="1451390099">
              <w:marLeft w:val="0"/>
              <w:marRight w:val="0"/>
              <w:marTop w:val="0"/>
              <w:marBottom w:val="0"/>
              <w:divBdr>
                <w:top w:val="none" w:sz="0" w:space="0" w:color="auto"/>
                <w:left w:val="none" w:sz="0" w:space="0" w:color="auto"/>
                <w:bottom w:val="none" w:sz="0" w:space="0" w:color="auto"/>
                <w:right w:val="none" w:sz="0" w:space="0" w:color="auto"/>
              </w:divBdr>
              <w:divsChild>
                <w:div w:id="488717091">
                  <w:marLeft w:val="0"/>
                  <w:marRight w:val="0"/>
                  <w:marTop w:val="0"/>
                  <w:marBottom w:val="0"/>
                  <w:divBdr>
                    <w:top w:val="none" w:sz="0" w:space="0" w:color="auto"/>
                    <w:left w:val="none" w:sz="0" w:space="0" w:color="auto"/>
                    <w:bottom w:val="none" w:sz="0" w:space="0" w:color="auto"/>
                    <w:right w:val="none" w:sz="0" w:space="0" w:color="auto"/>
                  </w:divBdr>
                  <w:divsChild>
                    <w:div w:id="1251279849">
                      <w:marLeft w:val="0"/>
                      <w:marRight w:val="0"/>
                      <w:marTop w:val="0"/>
                      <w:marBottom w:val="0"/>
                      <w:divBdr>
                        <w:top w:val="none" w:sz="0" w:space="0" w:color="auto"/>
                        <w:left w:val="none" w:sz="0" w:space="0" w:color="auto"/>
                        <w:bottom w:val="none" w:sz="0" w:space="0" w:color="auto"/>
                        <w:right w:val="none" w:sz="0" w:space="0" w:color="auto"/>
                      </w:divBdr>
                      <w:divsChild>
                        <w:div w:id="129324469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 w:id="530924334">
                  <w:marLeft w:val="0"/>
                  <w:marRight w:val="0"/>
                  <w:marTop w:val="0"/>
                  <w:marBottom w:val="0"/>
                  <w:divBdr>
                    <w:top w:val="none" w:sz="0" w:space="0" w:color="auto"/>
                    <w:left w:val="none" w:sz="0" w:space="0" w:color="auto"/>
                    <w:bottom w:val="none" w:sz="0" w:space="0" w:color="auto"/>
                    <w:right w:val="none" w:sz="0" w:space="0" w:color="auto"/>
                  </w:divBdr>
                  <w:divsChild>
                    <w:div w:id="5849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83732">
      <w:bodyDiv w:val="1"/>
      <w:marLeft w:val="0"/>
      <w:marRight w:val="0"/>
      <w:marTop w:val="0"/>
      <w:marBottom w:val="0"/>
      <w:divBdr>
        <w:top w:val="none" w:sz="0" w:space="0" w:color="auto"/>
        <w:left w:val="none" w:sz="0" w:space="0" w:color="auto"/>
        <w:bottom w:val="none" w:sz="0" w:space="0" w:color="auto"/>
        <w:right w:val="none" w:sz="0" w:space="0" w:color="auto"/>
      </w:divBdr>
      <w:divsChild>
        <w:div w:id="1433893417">
          <w:marLeft w:val="0"/>
          <w:marRight w:val="0"/>
          <w:marTop w:val="0"/>
          <w:marBottom w:val="0"/>
          <w:divBdr>
            <w:top w:val="none" w:sz="0" w:space="0" w:color="auto"/>
            <w:left w:val="none" w:sz="0" w:space="0" w:color="auto"/>
            <w:bottom w:val="none" w:sz="0" w:space="0" w:color="auto"/>
            <w:right w:val="none" w:sz="0" w:space="0" w:color="auto"/>
          </w:divBdr>
          <w:divsChild>
            <w:div w:id="2847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utosh.maharana@okstate.edu" TargetMode="External"/><Relationship Id="rId13" Type="http://schemas.openxmlformats.org/officeDocument/2006/relationships/hyperlink" Target="https://www.globenewswire.com/news-release/2022/04/12/2420860/0/en/Demand-for-Global-Crowdfunding-Market-Size-Share-to-Surpass-USD-28-2-Billion-by-2028-Exhibit-a-CAGR-of-11-8-Industry-Trends-Status-Revenue-Opportunities-Segmentation-Analysis-Forec.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msis5193-pds1-2022fall/project-deliverable-1-invincib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portfunder.com/" TargetMode="External"/><Relationship Id="rId11" Type="http://schemas.openxmlformats.org/officeDocument/2006/relationships/hyperlink" Target="mailto:skedas@okstate.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yash.patel@okstate.edu" TargetMode="External"/><Relationship Id="rId4" Type="http://schemas.openxmlformats.org/officeDocument/2006/relationships/settings" Target="settings.xml"/><Relationship Id="rId9" Type="http://schemas.openxmlformats.org/officeDocument/2006/relationships/hyperlink" Target="mailto:tponnag@okstate.edu" TargetMode="External"/><Relationship Id="rId14" Type="http://schemas.openxmlformats.org/officeDocument/2006/relationships/hyperlink" Target="https://www.kickstarter.com/expe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635BC-F52E-4454-A42F-43A5894EA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Links>
    <vt:vector size="48" baseType="variant">
      <vt:variant>
        <vt:i4>3014709</vt:i4>
      </vt:variant>
      <vt:variant>
        <vt:i4>21</vt:i4>
      </vt:variant>
      <vt:variant>
        <vt:i4>0</vt:i4>
      </vt:variant>
      <vt:variant>
        <vt:i4>5</vt:i4>
      </vt:variant>
      <vt:variant>
        <vt:lpwstr>https://www.kickstarter.com/experts</vt:lpwstr>
      </vt:variant>
      <vt:variant>
        <vt:lpwstr/>
      </vt:variant>
      <vt:variant>
        <vt:i4>5505045</vt:i4>
      </vt:variant>
      <vt:variant>
        <vt:i4>18</vt:i4>
      </vt:variant>
      <vt:variant>
        <vt:i4>0</vt:i4>
      </vt:variant>
      <vt:variant>
        <vt:i4>5</vt:i4>
      </vt:variant>
      <vt:variant>
        <vt:lpwstr>https://www.globenewswire.com/news-release/2022/04/12/2420860/0/en/Demand-for-Global-Crowdfunding-Market-Size-Share-to-Surpass-USD-28-2-Billion-by-2028-Exhibit-a-CAGR-of-11-8-Industry-Trends-Status-Revenue-Opportunities-Segmentation-Analysis-Forec.html</vt:lpwstr>
      </vt:variant>
      <vt:variant>
        <vt:lpwstr/>
      </vt:variant>
      <vt:variant>
        <vt:i4>6946877</vt:i4>
      </vt:variant>
      <vt:variant>
        <vt:i4>15</vt:i4>
      </vt:variant>
      <vt:variant>
        <vt:i4>0</vt:i4>
      </vt:variant>
      <vt:variant>
        <vt:i4>5</vt:i4>
      </vt:variant>
      <vt:variant>
        <vt:lpwstr>https://github.com/orgs/msis5193-pds1-2022fall/teams/invincible</vt:lpwstr>
      </vt:variant>
      <vt:variant>
        <vt:lpwstr/>
      </vt:variant>
      <vt:variant>
        <vt:i4>7602251</vt:i4>
      </vt:variant>
      <vt:variant>
        <vt:i4>12</vt:i4>
      </vt:variant>
      <vt:variant>
        <vt:i4>0</vt:i4>
      </vt:variant>
      <vt:variant>
        <vt:i4>5</vt:i4>
      </vt:variant>
      <vt:variant>
        <vt:lpwstr>mailto:skedas@okstate.edu</vt:lpwstr>
      </vt:variant>
      <vt:variant>
        <vt:lpwstr/>
      </vt:variant>
      <vt:variant>
        <vt:i4>2293846</vt:i4>
      </vt:variant>
      <vt:variant>
        <vt:i4>9</vt:i4>
      </vt:variant>
      <vt:variant>
        <vt:i4>0</vt:i4>
      </vt:variant>
      <vt:variant>
        <vt:i4>5</vt:i4>
      </vt:variant>
      <vt:variant>
        <vt:lpwstr>mailto:yash.patel@okstate.edu</vt:lpwstr>
      </vt:variant>
      <vt:variant>
        <vt:lpwstr/>
      </vt:variant>
      <vt:variant>
        <vt:i4>7864404</vt:i4>
      </vt:variant>
      <vt:variant>
        <vt:i4>6</vt:i4>
      </vt:variant>
      <vt:variant>
        <vt:i4>0</vt:i4>
      </vt:variant>
      <vt:variant>
        <vt:i4>5</vt:i4>
      </vt:variant>
      <vt:variant>
        <vt:lpwstr>mailto:tponnag@okstate.edu</vt:lpwstr>
      </vt:variant>
      <vt:variant>
        <vt:lpwstr/>
      </vt:variant>
      <vt:variant>
        <vt:i4>4849715</vt:i4>
      </vt:variant>
      <vt:variant>
        <vt:i4>3</vt:i4>
      </vt:variant>
      <vt:variant>
        <vt:i4>0</vt:i4>
      </vt:variant>
      <vt:variant>
        <vt:i4>5</vt:i4>
      </vt:variant>
      <vt:variant>
        <vt:lpwstr>mailto:ashutosh.maharana@okstate.edu</vt:lpwstr>
      </vt:variant>
      <vt:variant>
        <vt:lpwstr/>
      </vt:variant>
      <vt:variant>
        <vt:i4>1048645</vt:i4>
      </vt:variant>
      <vt:variant>
        <vt:i4>0</vt:i4>
      </vt:variant>
      <vt:variant>
        <vt:i4>0</vt:i4>
      </vt:variant>
      <vt:variant>
        <vt:i4>5</vt:i4>
      </vt:variant>
      <vt:variant>
        <vt:lpwstr>https://sportfunder.com/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Maharana, Ashutosh</dc:creator>
  <cp:keywords/>
  <dc:description/>
  <cp:lastModifiedBy>Patel, Yash</cp:lastModifiedBy>
  <cp:revision>7</cp:revision>
  <dcterms:created xsi:type="dcterms:W3CDTF">2022-09-19T00:48:00Z</dcterms:created>
  <dcterms:modified xsi:type="dcterms:W3CDTF">2022-09-19T01:03:00Z</dcterms:modified>
</cp:coreProperties>
</file>