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Heart Disease Prediction System Using Multi-Source Clinical Data and Machine Learning</w:t>
      </w:r>
    </w:p>
    <w:p>
      <w:r>
        <w:rPr>
          <w:b/>
        </w:rPr>
        <w:t>A Dissertation Submitted in Partial Fulfillment of the Requirements for the Degree of Bachelor of Technology in Computer Science and Engineering</w:t>
      </w:r>
    </w:p>
    <w:p>
      <w:r>
        <w:br w:type="page"/>
      </w:r>
    </w:p>
    <w:p>
      <w:pPr>
        <w:pStyle w:val="Heading2"/>
      </w:pPr>
      <w:r>
        <w:t>Abstract</w:t>
      </w:r>
    </w:p>
    <w:p>
      <w:r>
        <w:t>Cardiovascular diseases (CVDs) remain the leading cause of mortality globally. Early and accurate prediction of heart disease is critical for life-saving interventions. This project develops a robust Machine Learning (ML) pipeline for heart disease prediction using a standardized clinical schema (14 attributes). We aggregate data from the UCI Heart Disease repository (Cleveland, Hungary, Switzerland, and VA Long Beach) and the Statlog dataset, totaling 1,190 unique patient records. A novel "Missing Indicator" preprocessing strategy is implemented to preserve the clinical signal inherent in missing diagnostic tests. Comparative analysis of six algorithms (SVM, CatBoost, XGBoost, Random Forest, KNN, LightGBM) reveals that SVM and CatBoost achieve a state-of-the-art ROC-AUC of 0.891 and 0.890 respectively, providing highly reliable clinical decision support.</w:t>
      </w:r>
    </w:p>
    <w:p>
      <w:r>
        <w:br w:type="page"/>
      </w:r>
    </w:p>
    <w:p>
      <w:pPr>
        <w:pStyle w:val="Heading2"/>
      </w:pPr>
      <w:r>
        <w:t>Chapter 1: Introduction</w:t>
      </w:r>
    </w:p>
    <w:p>
      <w:pPr>
        <w:pStyle w:val="Heading3"/>
      </w:pPr>
      <w:r>
        <w:t>1.1 Motivation</w:t>
      </w:r>
    </w:p>
    <w:p>
      <w:r>
        <w:t>Heart disease contributes to millions of deaths annually. Clinical diagnosis often involves expensive and time-consuming tests. By leveraging computational intelligence, we can assist medical practitioners in identifying high-risk patients using routine clinical markers.</w:t>
      </w:r>
    </w:p>
    <w:p>
      <w:pPr>
        <w:pStyle w:val="Heading3"/>
      </w:pPr>
      <w:r>
        <w:t>1.2 Problem Statement</w:t>
      </w:r>
    </w:p>
    <w:p>
      <w:r>
        <w:t>Existing heart disease datasets are often small, fragmented, and suffer from high rates of missing values (up to 66% in fluoroscopy tests). Most ML pipelines either drop these columns or use simple mean imputation, which destroys the "missingness signal."</w:t>
      </w:r>
    </w:p>
    <w:p>
      <w:pPr>
        <w:pStyle w:val="Heading3"/>
      </w:pPr>
      <w:r>
        <w:t>1.3 Objectives</w:t>
      </w:r>
    </w:p>
    <w:p>
      <w:pPr>
        <w:pStyle w:val="ListBullet"/>
      </w:pPr>
      <w:r>
        <w:t>Standardize fragmented clinical datasets into a unified 14-attribute schema.</w:t>
      </w:r>
    </w:p>
    <w:p>
      <w:pPr>
        <w:pStyle w:val="ListBullet"/>
      </w:pPr>
      <w:r>
        <w:t>Implement an advanced preprocessing pipeline that preserves clinical gaps using Missing Indicators.</w:t>
      </w:r>
    </w:p>
    <w:p>
      <w:pPr>
        <w:pStyle w:val="ListBullet"/>
      </w:pPr>
      <w:r>
        <w:t>Compare multiple state-of-the-art ML models to identify the most robust predictor.</w:t>
      </w:r>
    </w:p>
    <w:p>
      <w:pPr>
        <w:pStyle w:val="ListBullet"/>
      </w:pPr>
      <w:r>
        <w:t>Provide high-fidelity model explanations using SHAP values for clinical interpretability.</w:t>
      </w:r>
    </w:p>
    <w:p>
      <w:r>
        <w:br w:type="page"/>
      </w:r>
    </w:p>
    <w:p>
      <w:pPr>
        <w:pStyle w:val="Heading2"/>
      </w:pPr>
      <w:r>
        <w:t>Chapter 2: Literature Survey</w:t>
      </w:r>
    </w:p>
    <w:p>
      <w:r>
        <w:t>Standard heart disease research centers around the UCI Cleveland dataset (303 records). While widely used, its small size leads to overfitting. Recent studies have combined regional datasets but often struggle with feature alignment. This project builds upon the 14-attribute clinical marker set established by Detrano et al. (1989), which remains the medical gold standard for non-invasive risk assessment.</w:t>
      </w:r>
    </w:p>
    <w:p>
      <w:r>
        <w:br w:type="page"/>
      </w:r>
    </w:p>
    <w:p>
      <w:pPr>
        <w:pStyle w:val="Heading2"/>
      </w:pPr>
      <w:r>
        <w:t>Chapter 3: Methodology</w:t>
      </w:r>
    </w:p>
    <w:p>
      <w:pPr>
        <w:pStyle w:val="Heading3"/>
      </w:pPr>
      <w:r>
        <w:t>3.1 Data Standardization</w:t>
      </w:r>
    </w:p>
    <w:p>
      <w:r>
        <w:t>Fragmented files from five clinical sites were merged into a single training payload. Attributes were mapped to a unified internal schema:</w:t>
      </w:r>
    </w:p>
    <w:p>
      <w:pPr>
        <w:pStyle w:val="ListBullet"/>
      </w:pPr>
      <w:r>
        <w:t>**Demographics**: Age, Gender.</w:t>
      </w:r>
    </w:p>
    <w:p>
      <w:pPr>
        <w:pStyle w:val="ListBullet"/>
      </w:pPr>
      <w:r>
        <w:t>**Symptomatology**: Chest Pain Type, Exercise Angina.</w:t>
      </w:r>
    </w:p>
    <w:p>
      <w:pPr>
        <w:pStyle w:val="ListBullet"/>
      </w:pPr>
      <w:r>
        <w:t>**Vitals**: Resting Blood Pressure, Serum Cholesterol, Fasting Blood Sugar.</w:t>
      </w:r>
    </w:p>
    <w:p>
      <w:pPr>
        <w:pStyle w:val="ListBullet"/>
      </w:pPr>
      <w:r>
        <w:t>**ECG Metrics**: Resting ECG, Max Heart Rate, ST Depression (Oldpeak), Slope.</w:t>
      </w:r>
    </w:p>
    <w:p>
      <w:pPr>
        <w:pStyle w:val="ListBullet"/>
      </w:pPr>
      <w:r>
        <w:t>**Advanced Diagnostics**: Number of Major Vessels (Fluoroscopy), Thalassemia.</w:t>
      </w:r>
    </w:p>
    <w:p>
      <w:pPr>
        <w:pStyle w:val="Heading3"/>
      </w:pPr>
      <w:r>
        <w:t>3.2 Preprocessing Engine</w:t>
      </w:r>
    </w:p>
    <w:p>
      <w:r>
        <w:t>A custom `scikit-learn` ColumnTransformer was designed:</w:t>
      </w:r>
    </w:p>
    <w:p>
      <w:r>
        <w:t>1.  Missing Value Indicators: `SimpleImputer` was configured with `add_indicator=True` to create binary flags for missing features.</w:t>
      </w:r>
    </w:p>
    <w:p>
      <w:r>
        <w:t>2.  Imputation: Median imputation for numerical features; Most-Frequent for categorical features.</w:t>
      </w:r>
    </w:p>
    <w:p>
      <w:r>
        <w:t>3.  Scaling: Standard Scaling was applied to normalized vitals.</w:t>
      </w:r>
    </w:p>
    <w:p>
      <w:r>
        <w:t>4.  Encoding: One-Hot Encoding for multi-class categorical variables.</w:t>
      </w:r>
    </w:p>
    <w:p>
      <w:pPr>
        <w:pStyle w:val="Heading3"/>
      </w:pPr>
      <w:r>
        <w:t>3.3 Algorithms</w:t>
      </w:r>
    </w:p>
    <w:p>
      <w:r>
        <w:t>We evaluated:</w:t>
      </w:r>
    </w:p>
    <w:p>
      <w:pPr>
        <w:pStyle w:val="ListBullet"/>
      </w:pPr>
      <w:r>
        <w:t>**CatBoost**: Optimized for categorical data via symmetric trees.</w:t>
      </w:r>
    </w:p>
    <w:p>
      <w:pPr>
        <w:pStyle w:val="ListBullet"/>
      </w:pPr>
      <w:r>
        <w:t>**SVM**: Effective in high-dimensional clinical spaces.</w:t>
      </w:r>
    </w:p>
    <w:p>
      <w:pPr>
        <w:pStyle w:val="ListBullet"/>
      </w:pPr>
      <w:r>
        <w:t>**Random Forest**: For robust feature interaction detection.</w:t>
      </w:r>
    </w:p>
    <w:p>
      <w:pPr>
        <w:pStyle w:val="ListBullet"/>
      </w:pPr>
      <w:r>
        <w:t>**XGBoost/LightGBM**: Benchmark gradient boosters.</w:t>
      </w:r>
    </w:p>
    <w:p>
      <w:r>
        <w:br w:type="page"/>
      </w:r>
    </w:p>
    <w:p>
      <w:pPr>
        <w:pStyle w:val="Heading2"/>
      </w:pPr>
      <w:r>
        <w:t>Chapter 4: Dataset Analysis</w:t>
      </w:r>
    </w:p>
    <w:p>
      <w:r>
        <w:t>The combined dataset reveals significant clinical gaps:</w:t>
      </w:r>
    </w:p>
    <w:p>
      <w:pPr>
        <w:pStyle w:val="ListBullet"/>
      </w:pPr>
      <w:r>
        <w:t>**Records**: 1,190 patient profiles.</w:t>
      </w:r>
    </w:p>
    <w:p>
      <w:pPr>
        <w:pStyle w:val="ListBullet"/>
      </w:pPr>
      <w:r>
        <w:t>**Missingness**: `noofmajorvessels` was missing in 66.4% of records, and `slope` in 33.5%.</w:t>
      </w:r>
    </w:p>
    <w:p>
      <w:pPr>
        <w:pStyle w:val="ListBullet"/>
      </w:pPr>
      <w:r>
        <w:t>**Target Distribution**: Balanced classification (Heart Disease vs. Normal).</w:t>
      </w:r>
    </w:p>
    <w:p>
      <w:r>
        <w:br w:type="page"/>
      </w:r>
    </w:p>
    <w:p>
      <w:pPr>
        <w:pStyle w:val="Heading2"/>
      </w:pPr>
      <w:r>
        <w:t>Chapter 5: Results and Discussion</w:t>
      </w:r>
    </w:p>
    <w:p>
      <w:pPr>
        <w:pStyle w:val="Heading3"/>
      </w:pPr>
      <w:r>
        <w:t>5.1 Model Performance</w:t>
      </w:r>
    </w:p>
    <w:p>
      <w:r>
        <w:t>Evaluation was performed using 10-fold Cross-Validation to ensure stability.</w:t>
      </w:r>
    </w:p>
    <w:p>
      <w:r>
        <w:t>| Model         | ROC-AUC | Accuracy | Precision | Recall | F1-Score |</w:t>
      </w:r>
    </w:p>
    <w:p>
      <w:r>
        <w:t>| :------------ | :------ | :------- | :-------- | :----- | :-------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**CatBoost**</w:t>
            </w:r>
          </w:p>
        </w:tc>
        <w:tc>
          <w:tcPr>
            <w:tcW w:type="dxa" w:w="1440"/>
          </w:tcPr>
          <w:p>
            <w:r>
              <w:t>**0.891**</w:t>
            </w:r>
          </w:p>
        </w:tc>
        <w:tc>
          <w:tcPr>
            <w:tcW w:type="dxa" w:w="1440"/>
          </w:tcPr>
          <w:p>
            <w:r>
              <w:t>82.3%</w:t>
            </w:r>
          </w:p>
        </w:tc>
        <w:tc>
          <w:tcPr>
            <w:tcW w:type="dxa" w:w="1440"/>
          </w:tcPr>
          <w:p>
            <w:r>
              <w:t>83.3%</w:t>
            </w:r>
          </w:p>
        </w:tc>
        <w:tc>
          <w:tcPr>
            <w:tcW w:type="dxa" w:w="1440"/>
          </w:tcPr>
          <w:p>
            <w:r>
              <w:t>85.3%</w:t>
            </w:r>
          </w:p>
        </w:tc>
        <w:tc>
          <w:tcPr>
            <w:tcW w:type="dxa" w:w="1440"/>
          </w:tcPr>
          <w:p>
            <w:r>
              <w:t>0.842</w:t>
            </w:r>
          </w:p>
        </w:tc>
      </w:tr>
      <w:tr>
        <w:tc>
          <w:tcPr>
            <w:tcW w:type="dxa" w:w="1440"/>
          </w:tcPr>
          <w:p>
            <w:r>
              <w:t>**SVM**</w:t>
            </w:r>
          </w:p>
        </w:tc>
        <w:tc>
          <w:tcPr>
            <w:tcW w:type="dxa" w:w="1440"/>
          </w:tcPr>
          <w:p>
            <w:r>
              <w:t>**0.891**</w:t>
            </w:r>
          </w:p>
        </w:tc>
        <w:tc>
          <w:tcPr>
            <w:tcW w:type="dxa" w:w="1440"/>
          </w:tcPr>
          <w:p>
            <w:r>
              <w:t>**83.2%**</w:t>
            </w:r>
          </w:p>
        </w:tc>
        <w:tc>
          <w:tcPr>
            <w:tcW w:type="dxa" w:w="1440"/>
          </w:tcPr>
          <w:p>
            <w:r>
              <w:t>83.0%</w:t>
            </w:r>
          </w:p>
        </w:tc>
        <w:tc>
          <w:tcPr>
            <w:tcW w:type="dxa" w:w="1440"/>
          </w:tcPr>
          <w:p>
            <w:r>
              <w:t>**87.6%**</w:t>
            </w:r>
          </w:p>
        </w:tc>
        <w:tc>
          <w:tcPr>
            <w:tcW w:type="dxa" w:w="1440"/>
          </w:tcPr>
          <w:p>
            <w:r>
              <w:t>**0.852**</w:t>
            </w:r>
          </w:p>
        </w:tc>
      </w:tr>
      <w:tr>
        <w:tc>
          <w:tcPr>
            <w:tcW w:type="dxa" w:w="1440"/>
          </w:tcPr>
          <w:p>
            <w:r>
              <w:t>Random Forest</w:t>
            </w:r>
          </w:p>
        </w:tc>
        <w:tc>
          <w:tcPr>
            <w:tcW w:type="dxa" w:w="1440"/>
          </w:tcPr>
          <w:p>
            <w:r>
              <w:t>0.884</w:t>
            </w:r>
          </w:p>
        </w:tc>
        <w:tc>
          <w:tcPr>
            <w:tcW w:type="dxa" w:w="1440"/>
          </w:tcPr>
          <w:p>
            <w:r>
              <w:t>82.0%</w:t>
            </w:r>
          </w:p>
        </w:tc>
        <w:tc>
          <w:tcPr>
            <w:tcW w:type="dxa" w:w="1440"/>
          </w:tcPr>
          <w:p>
            <w:r>
              <w:t>82.5%</w:t>
            </w:r>
          </w:p>
        </w:tc>
        <w:tc>
          <w:tcPr>
            <w:tcW w:type="dxa" w:w="1440"/>
          </w:tcPr>
          <w:p>
            <w:r>
              <w:t>85.7%</w:t>
            </w:r>
          </w:p>
        </w:tc>
        <w:tc>
          <w:tcPr>
            <w:tcW w:type="dxa" w:w="1440"/>
          </w:tcPr>
          <w:p>
            <w:r>
              <w:t>0.840</w:t>
            </w:r>
          </w:p>
        </w:tc>
      </w:tr>
      <w:tr>
        <w:tc>
          <w:tcPr>
            <w:tcW w:type="dxa" w:w="1440"/>
          </w:tcPr>
          <w:p>
            <w:r>
              <w:t>KNN</w:t>
            </w:r>
          </w:p>
        </w:tc>
        <w:tc>
          <w:tcPr>
            <w:tcW w:type="dxa" w:w="1440"/>
          </w:tcPr>
          <w:p>
            <w:r>
              <w:t>0.869</w:t>
            </w:r>
          </w:p>
        </w:tc>
        <w:tc>
          <w:tcPr>
            <w:tcW w:type="dxa" w:w="1440"/>
          </w:tcPr>
          <w:p>
            <w:r>
              <w:t>82.1%</w:t>
            </w:r>
          </w:p>
        </w:tc>
        <w:tc>
          <w:tcPr>
            <w:tcW w:type="dxa" w:w="1440"/>
          </w:tcPr>
          <w:p>
            <w:r>
              <w:t>82.2%</w:t>
            </w:r>
          </w:p>
        </w:tc>
        <w:tc>
          <w:tcPr>
            <w:tcW w:type="dxa" w:w="1440"/>
          </w:tcPr>
          <w:p>
            <w:r>
              <w:t>86.2%</w:t>
            </w:r>
          </w:p>
        </w:tc>
        <w:tc>
          <w:tcPr>
            <w:tcW w:type="dxa" w:w="1440"/>
          </w:tcPr>
          <w:p>
            <w:r>
              <w:t>0.841</w:t>
            </w:r>
          </w:p>
        </w:tc>
      </w:tr>
    </w:tbl>
    <w:p/>
    <w:p>
      <w:pPr>
        <w:pStyle w:val="Heading3"/>
      </w:pPr>
      <w:r>
        <w:t>5.2 Interpretability (SHAP Analysis)</w:t>
      </w:r>
    </w:p>
    <w:p>
      <w:r>
        <w:t>SHAP (SHapley Additive exPlanations) was used to decode the model logic. It was found that `maxheartrate` and `oldpeak` (ECG measurement) were the strongest predictors of heart disease, followed by the "Missing Indicator" for `noofmajorvessels`, proving that data gaps are indeed predictive.</w:t>
      </w:r>
    </w:p>
    <w:p>
      <w:r>
        <w:br w:type="page"/>
      </w:r>
    </w:p>
    <w:p>
      <w:pPr>
        <w:pStyle w:val="Heading2"/>
      </w:pPr>
      <w:r>
        <w:t>Chapter 6: Conclusion and Future Scope</w:t>
      </w:r>
    </w:p>
    <w:p>
      <w:pPr>
        <w:pStyle w:val="Heading3"/>
      </w:pPr>
      <w:r>
        <w:t>6.1 Conclusion</w:t>
      </w:r>
    </w:p>
    <w:p>
      <w:r>
        <w:t>The project successfully unified fragmented clinical data into a robust predictive system. By moving from the standard 303-record dataset to a 1,190-record combined set and implementing missing value indicators, we achieved highly stable ROC-AUC scores of 0.89.</w:t>
      </w:r>
    </w:p>
    <w:p>
      <w:pPr>
        <w:pStyle w:val="Heading3"/>
      </w:pPr>
      <w:r>
        <w:t>6.2 Future Work</w:t>
      </w:r>
    </w:p>
    <w:p>
      <w:pPr>
        <w:pStyle w:val="ListBullet"/>
      </w:pPr>
      <w:r>
        <w:t>Integration of Deep Learning models (ANN/LSTM) using the 70,000-record Kaggle dataset.</w:t>
      </w:r>
    </w:p>
    <w:p>
      <w:pPr>
        <w:pStyle w:val="ListBullet"/>
      </w:pPr>
      <w:r>
        <w:t>Real-time API deployment for hospital management systems.</w:t>
      </w:r>
    </w:p>
    <w:p>
      <w:r>
        <w:br w:type="page"/>
      </w:r>
    </w:p>
    <w:p>
      <w:pPr>
        <w:pStyle w:val="Heading2"/>
      </w:pPr>
      <w:r>
        <w:t>References</w:t>
      </w:r>
    </w:p>
    <w:p>
      <w:r>
        <w:t>1. Detrano, R., et al. (1989). International application of a new probability algorithm for the diagnosis of coronary artery disease. American Journal of Cardiology.</w:t>
      </w:r>
    </w:p>
    <w:p>
      <w:r>
        <w:t>2. UCI Machine Learning Repository. Heart Disease Data Set.</w:t>
      </w:r>
    </w:p>
    <w:p>
      <w:r>
        <w:t>3. Statlog (Heart) Data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