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pPr>
      <w:r>
        <w:rPr>
          <w:rFonts w:ascii="Arial" w:cs="Arial" w:eastAsia="Arial" w:hAnsi="Arial"/>
          <w:b/>
          <w:bCs/>
          <w:color w:val="1A4A5E"/>
          <w:sz w:val="44"/>
          <w:szCs w:val="44"/>
        </w:rPr>
        <w:t xml:space="preserve">Analysing Data with the Analyst Agent</w:t>
      </w:r>
    </w:p>
    <w:p>
      <w:pPr>
        <w:spacing w:before="0" w:after="60"/>
      </w:pPr>
      <w:r>
        <w:rPr>
          <w:rFonts w:ascii="Arial" w:cs="Arial" w:eastAsia="Arial" w:hAnsi="Arial"/>
          <w:color w:val="2980B9"/>
          <w:sz w:val="28"/>
          <w:szCs w:val="28"/>
        </w:rPr>
        <w:t xml:space="preserve">Your AI Data Scientist  —  Workshop Facilitator Notes</w:t>
      </w:r>
    </w:p>
    <w:p>
      <w:pPr>
        <w:pBdr>
          <w:bottom w:val="single" w:color="2980B9" w:sz="12" w:space="6"/>
        </w:pBdr>
        <w:spacing w:before="0" w:after="200"/>
      </w:pPr>
      <w:r>
        <w:rPr>
          <w:rFonts w:ascii="Arial" w:cs="Arial" w:eastAsia="Arial" w:hAnsi="Arial"/>
          <w:i/>
          <w:iCs/>
          <w:color w:val="595959"/>
          <w:sz w:val="22"/>
          <w:szCs w:val="22"/>
        </w:rPr>
        <w:t xml:space="preserve">Session 8 of the Microsoft 365 Copilot Training Programme  ·  Part 2 — Mastery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What This Session Covers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The difference between Generative AI (Chat) and Agent AI — and why it matters for data work.</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What the Analyst Agent is, how it works, and how it differs from Copilot in Excel.</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Getting started: data preparation, uploading files, and first prompts.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Core capabilities: querying, visualisation, comparison, and report generation.</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Advanced prompting: self-critique, audience-specific outputs, and stakeholder reporting.</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Practical use cases across Finance, HR, Sales, and Operations.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Limitations and workarounds — including options for those without the Analyst Agent.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FF8E6" w:val="clear"/>
            <w:tcMar>
              <w:top w:type="dxa" w:w="120"/>
              <w:left w:type="dxa" w:w="200"/>
              <w:bottom w:type="dxa" w:w="120"/>
              <w:right w:type="dxa" w:w="200"/>
            </w:tcMar>
          </w:tcPr>
          <w:p>
            <w:pPr>
              <w:spacing w:before="60" w:after="80"/>
            </w:pPr>
            <w:r>
              <w:rPr>
                <w:rFonts w:ascii="Arial" w:cs="Arial" w:eastAsia="Arial" w:hAnsi="Arial"/>
                <w:b/>
                <w:bCs/>
                <w:color w:val="7B4F00"/>
                <w:sz w:val="22"/>
                <w:szCs w:val="22"/>
              </w:rPr>
              <w:t xml:space="preserve">Licence Requirement</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The Analyst Agent requires the full Microsoft 365 Copilot licence.</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Participants on lower tiers will not have direct access to the Analyst Agent.</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A workaround is available — covered in Module 7 — using 'think mode' in regular Copilot Chat.</w:t>
            </w:r>
          </w:p>
        </w:tc>
      </w:tr>
    </w:tbl>
    <w:p>
      <w:pPr>
        <w:spacing w:before="160" w:after="0"/>
      </w:pPr>
      <w:r>
        <w:t xml:space="preserve"/>
      </w:r>
    </w:p>
    <w:p>
      <w:pPr>
        <w:pStyle w:val="Heading1"/>
        <w:pBdr>
          <w:bottom w:val="single" w:color="1A4A5E" w:sz="8" w:space="4"/>
        </w:pBdr>
        <w:spacing w:before="360" w:after="120"/>
      </w:pPr>
      <w:r>
        <w:rPr>
          <w:rFonts w:ascii="Arial" w:cs="Arial" w:eastAsia="Arial" w:hAnsi="Arial"/>
          <w:b/>
          <w:bCs/>
          <w:color w:val="1A4A5E"/>
          <w:sz w:val="28"/>
          <w:szCs w:val="28"/>
        </w:rPr>
        <w:t xml:space="preserve">Module 1: Gen AI vs. Agent AI</w:t>
      </w:r>
    </w:p>
    <w:p>
      <w:pPr>
        <w:spacing w:before="40" w:after="40"/>
      </w:pPr>
      <w:r>
        <w:rPr>
          <w:rFonts w:ascii="Arial" w:cs="Arial" w:eastAsia="Arial" w:hAnsi="Arial"/>
          <w:color w:val="2C2C2C"/>
          <w:sz w:val="22"/>
          <w:szCs w:val="22"/>
        </w:rPr>
        <w:t xml:space="preserve">Before demonstrating the Analyst Agent, ensure participants understand why it exists and how it differs from the Chat they already know. This framing prevents confusion about when to use each tool.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E8F4FD" w:val="clear"/>
            <w:tcMar>
              <w:top w:type="dxa" w:w="100"/>
              <w:left w:type="dxa" w:w="180"/>
              <w:bottom w:type="dxa" w:w="100"/>
              <w:right w:type="dxa" w:w="180"/>
            </w:tcMar>
          </w:tcPr>
          <w:p>
            <w:pPr>
              <w:spacing w:before="40" w:after="80"/>
            </w:pPr>
            <w:r>
              <w:rPr>
                <w:rFonts w:ascii="Arial" w:cs="Arial" w:eastAsia="Arial" w:hAnsi="Arial"/>
                <w:b/>
                <w:bCs/>
                <w:color w:val="1F4E79"/>
                <w:sz w:val="22"/>
                <w:szCs w:val="22"/>
              </w:rPr>
              <w:t xml:space="preserve">Generative AI — Copilot Chat</w:t>
            </w:r>
          </w:p>
          <w:p>
            <w:pPr>
              <w:spacing w:before="26" w:after="26"/>
            </w:pPr>
            <w:r>
              <w:rPr>
                <w:rFonts w:ascii="Arial" w:cs="Arial" w:eastAsia="Arial" w:hAnsi="Arial"/>
                <w:color w:val="2C2C2C"/>
                <w:sz w:val="21"/>
                <w:szCs w:val="21"/>
              </w:rPr>
              <w:t xml:space="preserve">▸  Single-turn or short multi-turn tasks</w:t>
            </w:r>
          </w:p>
          <w:p>
            <w:pPr>
              <w:spacing w:before="26" w:after="26"/>
            </w:pPr>
            <w:r>
              <w:rPr>
                <w:rFonts w:ascii="Arial" w:cs="Arial" w:eastAsia="Arial" w:hAnsi="Arial"/>
                <w:color w:val="2C2C2C"/>
                <w:sz w:val="21"/>
                <w:szCs w:val="21"/>
              </w:rPr>
              <w:t xml:space="preserve">▸  Fast responses — seconds</w:t>
            </w:r>
          </w:p>
          <w:p>
            <w:pPr>
              <w:spacing w:before="26" w:after="26"/>
            </w:pPr>
            <w:r>
              <w:rPr>
                <w:rFonts w:ascii="Arial" w:cs="Arial" w:eastAsia="Arial" w:hAnsi="Arial"/>
                <w:color w:val="2C2C2C"/>
                <w:sz w:val="21"/>
                <w:szCs w:val="21"/>
              </w:rPr>
              <w:t xml:space="preserve">▸  Best for quick questions, drafting, summarising</w:t>
            </w:r>
          </w:p>
          <w:p>
            <w:pPr>
              <w:spacing w:before="26" w:after="26"/>
            </w:pPr>
            <w:r>
              <w:rPr>
                <w:rFonts w:ascii="Arial" w:cs="Arial" w:eastAsia="Arial" w:hAnsi="Arial"/>
                <w:color w:val="2C2C2C"/>
                <w:sz w:val="21"/>
                <w:szCs w:val="21"/>
              </w:rPr>
              <w:t xml:space="preserve">▸  Requires more human guidance for complex tasks</w:t>
            </w:r>
          </w:p>
          <w:p>
            <w:pPr>
              <w:spacing w:before="26" w:after="26"/>
            </w:pPr>
            <w:r>
              <w:rPr>
                <w:rFonts w:ascii="Arial" w:cs="Arial" w:eastAsia="Arial" w:hAnsi="Arial"/>
                <w:color w:val="2C2C2C"/>
                <w:sz w:val="21"/>
                <w:szCs w:val="21"/>
              </w:rPr>
              <w:t xml:space="preserve">▸  Higher risk of hallucination on numerical data</w:t>
            </w:r>
          </w:p>
          <w:p>
            <w:pPr>
              <w:spacing w:before="26" w:after="26"/>
            </w:pPr>
            <w:r>
              <w:rPr>
                <w:rFonts w:ascii="Arial" w:cs="Arial" w:eastAsia="Arial" w:hAnsi="Arial"/>
                <w:color w:val="2C2C2C"/>
                <w:sz w:val="21"/>
                <w:szCs w:val="21"/>
              </w:rPr>
              <w:t xml:space="preserve">▸  No persistent file context between sessions</w:t>
            </w:r>
          </w:p>
        </w:tc>
        <w:tc>
          <w:tcPr>
            <w:tcW w:type="dxa" w:w="4680"/>
            <w:tcBorders>
              <w:top w:val="single" w:color="BDD7EE" w:sz="1"/>
              <w:left w:val="single" w:color="BDD7EE" w:sz="1"/>
              <w:bottom w:val="single" w:color="BDD7EE" w:sz="1"/>
              <w:right w:val="single" w:color="BDD7EE" w:sz="1"/>
            </w:tcBorders>
            <w:shd w:fill="E6F2F7" w:val="clear"/>
            <w:tcMar>
              <w:top w:type="dxa" w:w="100"/>
              <w:left w:type="dxa" w:w="180"/>
              <w:bottom w:type="dxa" w:w="100"/>
              <w:right w:type="dxa" w:w="180"/>
            </w:tcMar>
          </w:tcPr>
          <w:p>
            <w:pPr>
              <w:spacing w:before="40" w:after="80"/>
            </w:pPr>
            <w:r>
              <w:rPr>
                <w:rFonts w:ascii="Arial" w:cs="Arial" w:eastAsia="Arial" w:hAnsi="Arial"/>
                <w:b/>
                <w:bCs/>
                <w:color w:val="1A4A5E"/>
                <w:sz w:val="22"/>
                <w:szCs w:val="22"/>
              </w:rPr>
              <w:t xml:space="preserve">Agent AI — Analyst / Researcher</w:t>
            </w:r>
          </w:p>
          <w:p>
            <w:pPr>
              <w:spacing w:before="26" w:after="26"/>
            </w:pPr>
            <w:r>
              <w:rPr>
                <w:rFonts w:ascii="Arial" w:cs="Arial" w:eastAsia="Arial" w:hAnsi="Arial"/>
                <w:color w:val="2C2C2C"/>
                <w:sz w:val="21"/>
                <w:szCs w:val="21"/>
              </w:rPr>
              <w:t xml:space="preserve">▸  Multi-step, structured reasoning processes</w:t>
            </w:r>
          </w:p>
          <w:p>
            <w:pPr>
              <w:spacing w:before="26" w:after="26"/>
            </w:pPr>
            <w:r>
              <w:rPr>
                <w:rFonts w:ascii="Arial" w:cs="Arial" w:eastAsia="Arial" w:hAnsi="Arial"/>
                <w:color w:val="2C2C2C"/>
                <w:sz w:val="21"/>
                <w:szCs w:val="21"/>
              </w:rPr>
              <w:t xml:space="preserve">▸  Takes longer — minutes — but more thorough</w:t>
            </w:r>
          </w:p>
          <w:p>
            <w:pPr>
              <w:spacing w:before="26" w:after="26"/>
            </w:pPr>
            <w:r>
              <w:rPr>
                <w:rFonts w:ascii="Arial" w:cs="Arial" w:eastAsia="Arial" w:hAnsi="Arial"/>
                <w:color w:val="2C2C2C"/>
                <w:sz w:val="21"/>
                <w:szCs w:val="21"/>
              </w:rPr>
              <w:t xml:space="preserve">▸  Best for deep analysis, research, and recurring tasks</w:t>
            </w:r>
          </w:p>
          <w:p>
            <w:pPr>
              <w:spacing w:before="26" w:after="26"/>
            </w:pPr>
            <w:r>
              <w:rPr>
                <w:rFonts w:ascii="Arial" w:cs="Arial" w:eastAsia="Arial" w:hAnsi="Arial"/>
                <w:color w:val="2C2C2C"/>
                <w:sz w:val="21"/>
                <w:szCs w:val="21"/>
              </w:rPr>
              <w:t xml:space="preserve">▸  Runs a defined process with less hand-holding</w:t>
            </w:r>
          </w:p>
          <w:p>
            <w:pPr>
              <w:spacing w:before="26" w:after="26"/>
            </w:pPr>
            <w:r>
              <w:rPr>
                <w:rFonts w:ascii="Arial" w:cs="Arial" w:eastAsia="Arial" w:hAnsi="Arial"/>
                <w:color w:val="2C2C2C"/>
                <w:sz w:val="21"/>
                <w:szCs w:val="21"/>
              </w:rPr>
              <w:t xml:space="preserve">▸  Lower hallucination risk — backed by data or research</w:t>
            </w:r>
          </w:p>
          <w:p>
            <w:pPr>
              <w:spacing w:before="26" w:after="26"/>
            </w:pPr>
            <w:r>
              <w:rPr>
                <w:rFonts w:ascii="Arial" w:cs="Arial" w:eastAsia="Arial" w:hAnsi="Arial"/>
                <w:color w:val="2C2C2C"/>
                <w:sz w:val="21"/>
                <w:szCs w:val="21"/>
              </w:rPr>
              <w:t xml:space="preserve">▸  Designed for specific, repeatable jobs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6F2F7" w:val="clear"/>
            <w:tcMar>
              <w:top w:type="dxa" w:w="120"/>
              <w:left w:type="dxa" w:w="200"/>
              <w:bottom w:type="dxa" w:w="120"/>
              <w:right w:type="dxa" w:w="200"/>
            </w:tcMar>
          </w:tcPr>
          <w:p>
            <w:pPr>
              <w:spacing w:before="60" w:after="80"/>
            </w:pPr>
            <w:r>
              <w:rPr>
                <w:rFonts w:ascii="Arial" w:cs="Arial" w:eastAsia="Arial" w:hAnsi="Arial"/>
                <w:b/>
                <w:bCs/>
                <w:color w:val="1A4A5E"/>
                <w:sz w:val="22"/>
                <w:szCs w:val="22"/>
              </w:rPr>
              <w:t xml:space="preserve">Why Agent AI Matters for Data Work</w:t>
            </w:r>
          </w:p>
          <w:p>
            <w:pPr>
              <w:spacing w:before="28" w:after="28"/>
            </w:pPr>
            <w:r>
              <w:rPr>
                <w:rFonts w:ascii="Arial" w:cs="Arial" w:eastAsia="Arial" w:hAnsi="Arial"/>
                <w:color w:val="2980B9"/>
                <w:sz w:val="21"/>
                <w:szCs w:val="21"/>
              </w:rPr>
              <w:t xml:space="preserve">▸  </w:t>
            </w:r>
            <w:r>
              <w:rPr>
                <w:rFonts w:ascii="Arial" w:cs="Arial" w:eastAsia="Arial" w:hAnsi="Arial"/>
                <w:color w:val="2C2C2C"/>
                <w:sz w:val="21"/>
                <w:szCs w:val="21"/>
              </w:rPr>
              <w:t xml:space="preserve">Copilot Chat can discuss data but is not optimised for analysis — it is more likely to make calculation errors or miss patterns in large datasets.</w:t>
            </w:r>
          </w:p>
          <w:p>
            <w:pPr>
              <w:spacing w:before="28" w:after="28"/>
            </w:pPr>
            <w:r>
              <w:rPr>
                <w:rFonts w:ascii="Arial" w:cs="Arial" w:eastAsia="Arial" w:hAnsi="Arial"/>
                <w:color w:val="2980B9"/>
                <w:sz w:val="21"/>
                <w:szCs w:val="21"/>
              </w:rPr>
              <w:t xml:space="preserve">▸  </w:t>
            </w:r>
            <w:r>
              <w:rPr>
                <w:rFonts w:ascii="Arial" w:cs="Arial" w:eastAsia="Arial" w:hAnsi="Arial"/>
                <w:color w:val="2C2C2C"/>
                <w:sz w:val="21"/>
                <w:szCs w:val="21"/>
              </w:rPr>
              <w:t xml:space="preserve">The Analyst Agent runs Python in the background to perform real calculations — not guesses based on language patterns.</w:t>
            </w:r>
          </w:p>
          <w:p>
            <w:pPr>
              <w:spacing w:before="28" w:after="28"/>
            </w:pPr>
            <w:r>
              <w:rPr>
                <w:rFonts w:ascii="Arial" w:cs="Arial" w:eastAsia="Arial" w:hAnsi="Arial"/>
                <w:color w:val="2980B9"/>
                <w:sz w:val="21"/>
                <w:szCs w:val="21"/>
              </w:rPr>
              <w:t xml:space="preserve">▸  </w:t>
            </w:r>
            <w:r>
              <w:rPr>
                <w:rFonts w:ascii="Arial" w:cs="Arial" w:eastAsia="Arial" w:hAnsi="Arial"/>
                <w:color w:val="2C2C2C"/>
                <w:sz w:val="21"/>
                <w:szCs w:val="21"/>
              </w:rPr>
              <w:t xml:space="preserve">It shows its reasoning step by step, so you can follow and verify what it did.</w:t>
            </w:r>
          </w:p>
          <w:p>
            <w:pPr>
              <w:spacing w:before="28" w:after="28"/>
            </w:pPr>
            <w:r>
              <w:rPr>
                <w:rFonts w:ascii="Arial" w:cs="Arial" w:eastAsia="Arial" w:hAnsi="Arial"/>
                <w:color w:val="2980B9"/>
                <w:sz w:val="21"/>
                <w:szCs w:val="21"/>
              </w:rPr>
              <w:t xml:space="preserve">▸  </w:t>
            </w:r>
            <w:r>
              <w:rPr>
                <w:rFonts w:ascii="Arial" w:cs="Arial" w:eastAsia="Arial" w:hAnsi="Arial"/>
                <w:color w:val="2C2C2C"/>
                <w:sz w:val="21"/>
                <w:szCs w:val="21"/>
              </w:rPr>
              <w:t xml:space="preserve">For any task involving numbers, trends, or patterns across a large dataset, the Analyst Agent will consistently outperform Chat.</w:t>
            </w:r>
          </w:p>
        </w:tc>
      </w:tr>
    </w:tbl>
    <w:p>
      <w:pPr>
        <w:spacing w:before="160" w:after="0"/>
      </w:pPr>
      <w:r>
        <w:t xml:space="preserve"/>
      </w:r>
    </w:p>
    <w:p>
      <w:pPr>
        <w:pStyle w:val="Heading1"/>
        <w:pBdr>
          <w:bottom w:val="single" w:color="1A4A5E" w:sz="8" w:space="4"/>
        </w:pBdr>
        <w:spacing w:before="360" w:after="120"/>
      </w:pPr>
      <w:r>
        <w:rPr>
          <w:rFonts w:ascii="Arial" w:cs="Arial" w:eastAsia="Arial" w:hAnsi="Arial"/>
          <w:b/>
          <w:bCs/>
          <w:color w:val="1A4A5E"/>
          <w:sz w:val="28"/>
          <w:szCs w:val="28"/>
        </w:rPr>
        <w:t xml:space="preserve">Module 2: What Is the Analyst Agent?</w:t>
      </w:r>
    </w:p>
    <w:p>
      <w:pPr>
        <w:spacing w:before="40" w:after="40"/>
      </w:pPr>
      <w:r>
        <w:rPr>
          <w:rFonts w:ascii="Arial" w:cs="Arial" w:eastAsia="Arial" w:hAnsi="Arial"/>
          <w:color w:val="2C2C2C"/>
          <w:sz w:val="22"/>
          <w:szCs w:val="22"/>
        </w:rPr>
        <w:t xml:space="preserve">The Analyst Agent is a specialised AI assistant designed for data analysis. Think of it as a data scientist you can instruct in plain English — it reads your data, runs analysis, creates visuals, and generates reports, with no coding required.</w:t>
      </w:r>
    </w:p>
    <w:p>
      <w:pPr>
        <w:spacing w:before="80" w:after="0"/>
      </w:pPr>
      <w:r>
        <w:t xml:space="preserve"/>
      </w:r>
    </w:p>
    <w:p>
      <w:pPr>
        <w:pStyle w:val="Heading2"/>
        <w:spacing w:before="240" w:after="80"/>
      </w:pPr>
      <w:r>
        <w:rPr>
          <w:rFonts w:ascii="Arial" w:cs="Arial" w:eastAsia="Arial" w:hAnsi="Arial"/>
          <w:b/>
          <w:bCs/>
          <w:color w:val="2980B9"/>
          <w:sz w:val="24"/>
          <w:szCs w:val="24"/>
        </w:rPr>
        <w:t xml:space="preserve">How It Works</w:t>
      </w:r>
    </w:p>
    <w:p>
      <w:pPr>
        <w:pStyle w:val="ListParagraph"/>
        <w:numPr>
          <w:ilvl w:val="0"/>
          <w:numId w:val="2"/>
        </w:numPr>
        <w:spacing w:before="30" w:after="30"/>
      </w:pPr>
      <w:r>
        <w:rPr>
          <w:rFonts w:ascii="Arial" w:cs="Arial" w:eastAsia="Arial" w:hAnsi="Arial"/>
          <w:color w:val="2C2C2C"/>
          <w:sz w:val="22"/>
          <w:szCs w:val="22"/>
        </w:rPr>
        <w:t xml:space="preserve">Upload a dataset — Excel (formatted as a Table) or PDF.</w:t>
      </w:r>
    </w:p>
    <w:p>
      <w:pPr>
        <w:pStyle w:val="ListParagraph"/>
        <w:numPr>
          <w:ilvl w:val="0"/>
          <w:numId w:val="2"/>
        </w:numPr>
        <w:spacing w:before="30" w:after="30"/>
      </w:pPr>
      <w:r>
        <w:rPr>
          <w:rFonts w:ascii="Arial" w:cs="Arial" w:eastAsia="Arial" w:hAnsi="Arial"/>
          <w:color w:val="2C2C2C"/>
          <w:sz w:val="22"/>
          <w:szCs w:val="22"/>
        </w:rPr>
        <w:t xml:space="preserve">Describe what you want to know, in plain English.</w:t>
      </w:r>
    </w:p>
    <w:p>
      <w:pPr>
        <w:pStyle w:val="ListParagraph"/>
        <w:numPr>
          <w:ilvl w:val="0"/>
          <w:numId w:val="2"/>
        </w:numPr>
        <w:spacing w:before="30" w:after="30"/>
      </w:pPr>
      <w:r>
        <w:rPr>
          <w:rFonts w:ascii="Arial" w:cs="Arial" w:eastAsia="Arial" w:hAnsi="Arial"/>
          <w:color w:val="2C2C2C"/>
          <w:sz w:val="22"/>
          <w:szCs w:val="22"/>
        </w:rPr>
        <w:t xml:space="preserve">The Agent analyses the data using Python in the background — the code is visible but you do not need to understand it.</w:t>
      </w:r>
    </w:p>
    <w:p>
      <w:pPr>
        <w:pStyle w:val="ListParagraph"/>
        <w:numPr>
          <w:ilvl w:val="0"/>
          <w:numId w:val="2"/>
        </w:numPr>
        <w:spacing w:before="30" w:after="30"/>
      </w:pPr>
      <w:r>
        <w:rPr>
          <w:rFonts w:ascii="Arial" w:cs="Arial" w:eastAsia="Arial" w:hAnsi="Arial"/>
          <w:color w:val="2C2C2C"/>
          <w:sz w:val="22"/>
          <w:szCs w:val="22"/>
        </w:rPr>
        <w:t xml:space="preserve">It returns findings, charts, and tables — all downloadable.</w:t>
      </w:r>
    </w:p>
    <w:p>
      <w:pPr>
        <w:pStyle w:val="ListParagraph"/>
        <w:numPr>
          <w:ilvl w:val="0"/>
          <w:numId w:val="2"/>
        </w:numPr>
        <w:spacing w:before="30" w:after="30"/>
      </w:pPr>
      <w:r>
        <w:rPr>
          <w:rFonts w:ascii="Arial" w:cs="Arial" w:eastAsia="Arial" w:hAnsi="Arial"/>
          <w:color w:val="2C2C2C"/>
          <w:sz w:val="22"/>
          <w:szCs w:val="22"/>
        </w:rPr>
        <w:t xml:space="preserve">You can ask follow-up questions in the same session, building up a layered analysis.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6F2F7" w:val="clear"/>
            <w:tcMar>
              <w:top w:type="dxa" w:w="120"/>
              <w:left w:type="dxa" w:w="200"/>
              <w:bottom w:type="dxa" w:w="120"/>
              <w:right w:type="dxa" w:w="200"/>
            </w:tcMar>
          </w:tcPr>
          <w:p>
            <w:pPr>
              <w:spacing w:before="60" w:after="80"/>
            </w:pPr>
            <w:r>
              <w:rPr>
                <w:rFonts w:ascii="Arial" w:cs="Arial" w:eastAsia="Arial" w:hAnsi="Arial"/>
                <w:b/>
                <w:bCs/>
                <w:color w:val="1A4A5E"/>
                <w:sz w:val="22"/>
                <w:szCs w:val="22"/>
              </w:rPr>
              <w:t xml:space="preserve">What Makes It Different from Copilot in Excel</w:t>
            </w:r>
          </w:p>
          <w:p>
            <w:pPr>
              <w:spacing w:before="28" w:after="28"/>
            </w:pPr>
            <w:r>
              <w:rPr>
                <w:rFonts w:ascii="Arial" w:cs="Arial" w:eastAsia="Arial" w:hAnsi="Arial"/>
                <w:color w:val="2980B9"/>
                <w:sz w:val="21"/>
                <w:szCs w:val="21"/>
              </w:rPr>
              <w:t xml:space="preserve">▸  </w:t>
            </w:r>
            <w:r>
              <w:rPr>
                <w:rFonts w:ascii="Arial" w:cs="Arial" w:eastAsia="Arial" w:hAnsi="Arial"/>
                <w:color w:val="2C2C2C"/>
                <w:sz w:val="21"/>
                <w:szCs w:val="21"/>
              </w:rPr>
              <w:t xml:space="preserve">Speed: The Analyst Agent is faster than Excel's native Copilot for large datasets.</w:t>
            </w:r>
          </w:p>
          <w:p>
            <w:pPr>
              <w:spacing w:before="28" w:after="28"/>
            </w:pPr>
            <w:r>
              <w:rPr>
                <w:rFonts w:ascii="Arial" w:cs="Arial" w:eastAsia="Arial" w:hAnsi="Arial"/>
                <w:color w:val="2980B9"/>
                <w:sz w:val="21"/>
                <w:szCs w:val="21"/>
              </w:rPr>
              <w:t xml:space="preserve">▸  </w:t>
            </w:r>
            <w:r>
              <w:rPr>
                <w:rFonts w:ascii="Arial" w:cs="Arial" w:eastAsia="Arial" w:hAnsi="Arial"/>
                <w:color w:val="2C2C2C"/>
                <w:sz w:val="21"/>
                <w:szCs w:val="21"/>
              </w:rPr>
              <w:t xml:space="preserve">Volume: Handles larger data volumes more reliably.</w:t>
            </w:r>
          </w:p>
          <w:p>
            <w:pPr>
              <w:spacing w:before="28" w:after="28"/>
            </w:pPr>
            <w:r>
              <w:rPr>
                <w:rFonts w:ascii="Arial" w:cs="Arial" w:eastAsia="Arial" w:hAnsi="Arial"/>
                <w:color w:val="2980B9"/>
                <w:sz w:val="21"/>
                <w:szCs w:val="21"/>
              </w:rPr>
              <w:t xml:space="preserve">▸  </w:t>
            </w:r>
            <w:r>
              <w:rPr>
                <w:rFonts w:ascii="Arial" w:cs="Arial" w:eastAsia="Arial" w:hAnsi="Arial"/>
                <w:color w:val="2C2C2C"/>
                <w:sz w:val="21"/>
                <w:szCs w:val="21"/>
              </w:rPr>
              <w:t xml:space="preserve">Depth: Can perform multi-step analysis (e.g. calculate, segment, then visualise) in one request.</w:t>
            </w:r>
          </w:p>
          <w:p>
            <w:pPr>
              <w:spacing w:before="28" w:after="28"/>
            </w:pPr>
            <w:r>
              <w:rPr>
                <w:rFonts w:ascii="Arial" w:cs="Arial" w:eastAsia="Arial" w:hAnsi="Arial"/>
                <w:color w:val="2980B9"/>
                <w:sz w:val="21"/>
                <w:szCs w:val="21"/>
              </w:rPr>
              <w:t xml:space="preserve">▸  </w:t>
            </w:r>
            <w:r>
              <w:rPr>
                <w:rFonts w:ascii="Arial" w:cs="Arial" w:eastAsia="Arial" w:hAnsi="Arial"/>
                <w:color w:val="2C2C2C"/>
                <w:sz w:val="21"/>
                <w:szCs w:val="21"/>
              </w:rPr>
              <w:t xml:space="preserve">Transparency: Shows each analysis step — you can see and verify the logic.</w:t>
            </w:r>
          </w:p>
          <w:p>
            <w:pPr>
              <w:spacing w:before="28" w:after="28"/>
            </w:pPr>
            <w:r>
              <w:rPr>
                <w:rFonts w:ascii="Arial" w:cs="Arial" w:eastAsia="Arial" w:hAnsi="Arial"/>
                <w:color w:val="2980B9"/>
                <w:sz w:val="21"/>
                <w:szCs w:val="21"/>
              </w:rPr>
              <w:t xml:space="preserve">▸  </w:t>
            </w:r>
            <w:r>
              <w:rPr>
                <w:rFonts w:ascii="Arial" w:cs="Arial" w:eastAsia="Arial" w:hAnsi="Arial"/>
                <w:color w:val="2C2C2C"/>
                <w:sz w:val="21"/>
                <w:szCs w:val="21"/>
              </w:rPr>
              <w:t xml:space="preserve">Portability: Operates independently of Excel — useful when you want to analyse a file without opening it in Excel.</w:t>
            </w:r>
          </w:p>
        </w:tc>
      </w:tr>
    </w:tbl>
    <w:p>
      <w:pPr>
        <w:spacing w:before="100" w:after="0"/>
      </w:pPr>
      <w:r>
        <w:t xml:space="preserve"/>
      </w:r>
    </w:p>
    <w:p>
      <w:pPr>
        <w:pStyle w:val="Heading2"/>
        <w:spacing w:before="240" w:after="80"/>
      </w:pPr>
      <w:r>
        <w:rPr>
          <w:rFonts w:ascii="Arial" w:cs="Arial" w:eastAsia="Arial" w:hAnsi="Arial"/>
          <w:b/>
          <w:bCs/>
          <w:color w:val="2980B9"/>
          <w:sz w:val="24"/>
          <w:szCs w:val="24"/>
        </w:rPr>
        <w:t xml:space="preserve">Accessing the Analyst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6F2F7" w:val="clear"/>
            <w:tcMar>
              <w:top w:type="dxa" w:w="120"/>
              <w:left w:type="dxa" w:w="200"/>
              <w:bottom w:type="dxa" w:w="120"/>
              <w:right w:type="dxa" w:w="200"/>
            </w:tcMar>
          </w:tcPr>
          <w:p>
            <w:pPr>
              <w:spacing w:before="60" w:after="100"/>
            </w:pPr>
            <w:r>
              <w:rPr>
                <w:rFonts w:ascii="Arial" w:cs="Arial" w:eastAsia="Arial" w:hAnsi="Arial"/>
                <w:b/>
                <w:bCs/>
                <w:color w:val="1A4A5E"/>
                <w:sz w:val="22"/>
                <w:szCs w:val="22"/>
              </w:rPr>
              <w:t xml:space="preserve">How to find and open the Analyst Agent</w:t>
            </w:r>
          </w:p>
          <w:p>
            <w:pPr>
              <w:spacing w:before="30" w:after="30"/>
            </w:pPr>
            <w:r>
              <w:rPr>
                <w:rFonts w:ascii="Arial" w:cs="Arial" w:eastAsia="Arial" w:hAnsi="Arial"/>
                <w:b/>
                <w:bCs/>
                <w:color w:val="2980B9"/>
                <w:sz w:val="21"/>
                <w:szCs w:val="21"/>
              </w:rPr>
              <w:t xml:space="preserve">1.  </w:t>
            </w:r>
            <w:r>
              <w:rPr>
                <w:rFonts w:ascii="Arial" w:cs="Arial" w:eastAsia="Arial" w:hAnsi="Arial"/>
                <w:color w:val="2C2C2C"/>
                <w:sz w:val="21"/>
                <w:szCs w:val="21"/>
              </w:rPr>
              <w:t xml:space="preserve">Go to copilot.microsoft.com (web version).</w:t>
            </w:r>
          </w:p>
          <w:p>
            <w:pPr>
              <w:spacing w:before="30" w:after="30"/>
            </w:pPr>
            <w:r>
              <w:rPr>
                <w:rFonts w:ascii="Arial" w:cs="Arial" w:eastAsia="Arial" w:hAnsi="Arial"/>
                <w:b/>
                <w:bCs/>
                <w:color w:val="2980B9"/>
                <w:sz w:val="21"/>
                <w:szCs w:val="21"/>
              </w:rPr>
              <w:t xml:space="preserve">2.  </w:t>
            </w:r>
            <w:r>
              <w:rPr>
                <w:rFonts w:ascii="Arial" w:cs="Arial" w:eastAsia="Arial" w:hAnsi="Arial"/>
                <w:color w:val="2C2C2C"/>
                <w:sz w:val="21"/>
                <w:szCs w:val="21"/>
              </w:rPr>
              <w:t xml:space="preserve">Click the Agents button in the left sidebar or the top navigation.</w:t>
            </w:r>
          </w:p>
          <w:p>
            <w:pPr>
              <w:spacing w:before="30" w:after="30"/>
            </w:pPr>
            <w:r>
              <w:rPr>
                <w:rFonts w:ascii="Arial" w:cs="Arial" w:eastAsia="Arial" w:hAnsi="Arial"/>
                <w:b/>
                <w:bCs/>
                <w:color w:val="2980B9"/>
                <w:sz w:val="21"/>
                <w:szCs w:val="21"/>
              </w:rPr>
              <w:t xml:space="preserve">3.  </w:t>
            </w:r>
            <w:r>
              <w:rPr>
                <w:rFonts w:ascii="Arial" w:cs="Arial" w:eastAsia="Arial" w:hAnsi="Arial"/>
                <w:color w:val="2C2C2C"/>
                <w:sz w:val="21"/>
                <w:szCs w:val="21"/>
              </w:rPr>
              <w:t xml:space="preserve">Select Analyst from the list of available agents. Pin it for quick access.</w:t>
            </w:r>
          </w:p>
          <w:p>
            <w:pPr>
              <w:spacing w:before="30" w:after="30"/>
            </w:pPr>
            <w:r>
              <w:rPr>
                <w:rFonts w:ascii="Arial" w:cs="Arial" w:eastAsia="Arial" w:hAnsi="Arial"/>
                <w:b/>
                <w:bCs/>
                <w:color w:val="2980B9"/>
                <w:sz w:val="21"/>
                <w:szCs w:val="21"/>
              </w:rPr>
              <w:t xml:space="preserve">4.  </w:t>
            </w:r>
            <w:r>
              <w:rPr>
                <w:rFonts w:ascii="Arial" w:cs="Arial" w:eastAsia="Arial" w:hAnsi="Arial"/>
                <w:color w:val="2C2C2C"/>
                <w:sz w:val="21"/>
                <w:szCs w:val="21"/>
              </w:rPr>
              <w:t xml:space="preserve">If Analyst is not visible, check your licence tier with IT — it requires the full Microsoft 365 Copilot licence.</w:t>
            </w:r>
          </w:p>
          <w:p>
            <w:pPr>
              <w:spacing w:before="30" w:after="30"/>
            </w:pPr>
            <w:r>
              <w:rPr>
                <w:rFonts w:ascii="Arial" w:cs="Arial" w:eastAsia="Arial" w:hAnsi="Arial"/>
                <w:b/>
                <w:bCs/>
                <w:color w:val="2980B9"/>
                <w:sz w:val="21"/>
                <w:szCs w:val="21"/>
              </w:rPr>
              <w:t xml:space="preserve">5.  </w:t>
            </w:r>
            <w:r>
              <w:rPr>
                <w:rFonts w:ascii="Arial" w:cs="Arial" w:eastAsia="Arial" w:hAnsi="Arial"/>
                <w:color w:val="2C2C2C"/>
                <w:sz w:val="21"/>
                <w:szCs w:val="21"/>
              </w:rPr>
              <w:t xml:space="preserve">Once open, upload your file using the attachment icon and begin prompting.</w:t>
            </w:r>
          </w:p>
        </w:tc>
      </w:tr>
    </w:tbl>
    <w:p>
      <w:pPr>
        <w:spacing w:before="160" w:after="0"/>
      </w:pPr>
      <w:r>
        <w:t xml:space="preserve"/>
      </w:r>
    </w:p>
    <w:p>
      <w:pPr>
        <w:pStyle w:val="Heading1"/>
        <w:pBdr>
          <w:bottom w:val="single" w:color="1A4A5E" w:sz="8" w:space="4"/>
        </w:pBdr>
        <w:spacing w:before="360" w:after="120"/>
      </w:pPr>
      <w:r>
        <w:rPr>
          <w:rFonts w:ascii="Arial" w:cs="Arial" w:eastAsia="Arial" w:hAnsi="Arial"/>
          <w:b/>
          <w:bCs/>
          <w:color w:val="1A4A5E"/>
          <w:sz w:val="28"/>
          <w:szCs w:val="28"/>
        </w:rPr>
        <w:t xml:space="preserve">Module 3: Preparing Your Data</w:t>
      </w:r>
    </w:p>
    <w:p>
      <w:pPr>
        <w:spacing w:before="40" w:after="40"/>
      </w:pPr>
      <w:r>
        <w:rPr>
          <w:rFonts w:ascii="Arial" w:cs="Arial" w:eastAsia="Arial" w:hAnsi="Arial"/>
          <w:color w:val="2C2C2C"/>
          <w:sz w:val="22"/>
          <w:szCs w:val="22"/>
        </w:rPr>
        <w:t xml:space="preserve">The quality of the analysis depends directly on the quality of the data. Cover data preparation before the demo — it prevents the most common errors participants encounter.</w:t>
      </w:r>
    </w:p>
    <w:p>
      <w:pPr>
        <w:spacing w:before="80" w:after="0"/>
      </w:pPr>
      <w:r>
        <w:t xml:space="preserve"/>
      </w:r>
    </w:p>
    <w:p>
      <w:pPr>
        <w:pStyle w:val="Heading2"/>
        <w:spacing w:before="240" w:after="80"/>
      </w:pPr>
      <w:r>
        <w:rPr>
          <w:rFonts w:ascii="Arial" w:cs="Arial" w:eastAsia="Arial" w:hAnsi="Arial"/>
          <w:b/>
          <w:bCs/>
          <w:color w:val="2980B9"/>
          <w:sz w:val="24"/>
          <w:szCs w:val="24"/>
        </w:rPr>
        <w:t xml:space="preserve">File Format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1A4A5E" w:val="clear"/>
            <w:tcMar>
              <w:top w:type="dxa" w:w="80"/>
              <w:left w:type="dxa" w:w="140"/>
              <w:bottom w:type="dxa" w:w="80"/>
              <w:right w:type="dxa" w:w="140"/>
            </w:tcMar>
          </w:tcPr>
          <w:p>
            <w:r>
              <w:rPr>
                <w:rFonts w:ascii="Arial" w:cs="Arial" w:eastAsia="Arial" w:hAnsi="Arial"/>
                <w:b/>
                <w:bCs/>
                <w:color w:val="FFFFFF"/>
                <w:sz w:val="21"/>
                <w:szCs w:val="21"/>
              </w:rPr>
              <w:t xml:space="preserve">Format</w:t>
            </w:r>
          </w:p>
        </w:tc>
        <w:tc>
          <w:tcPr>
            <w:tcW w:type="dxa" w:w="6560"/>
            <w:tcBorders>
              <w:top w:val="single" w:color="BDD7EE" w:sz="1"/>
              <w:left w:val="single" w:color="BDD7EE" w:sz="1"/>
              <w:bottom w:val="single" w:color="BDD7EE" w:sz="1"/>
              <w:right w:val="single" w:color="BDD7EE" w:sz="1"/>
            </w:tcBorders>
            <w:shd w:fill="1A4A5E" w:val="clear"/>
            <w:tcMar>
              <w:top w:type="dxa" w:w="80"/>
              <w:left w:type="dxa" w:w="140"/>
              <w:bottom w:type="dxa" w:w="80"/>
              <w:right w:type="dxa" w:w="140"/>
            </w:tcMar>
          </w:tcPr>
          <w:p>
            <w:r>
              <w:rPr>
                <w:rFonts w:ascii="Arial" w:cs="Arial" w:eastAsia="Arial" w:hAnsi="Arial"/>
                <w:b/>
                <w:bCs/>
                <w:color w:val="FFFFFF"/>
                <w:sz w:val="21"/>
                <w:szCs w:val="21"/>
              </w:rPr>
              <w:t xml:space="preserve">Guidance</w:t>
            </w:r>
          </w:p>
        </w:tc>
      </w:tr>
      <w:tr>
        <w:tc>
          <w:tcPr>
            <w:tcW w:type="dxa" w:w="280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b/>
                <w:bCs/>
                <w:color w:val="1A4A5E"/>
                <w:sz w:val="21"/>
                <w:szCs w:val="21"/>
              </w:rPr>
              <w:t xml:space="preserve">Excel (.xlsx) — preferred</w:t>
            </w:r>
          </w:p>
        </w:tc>
        <w:tc>
          <w:tcPr>
            <w:tcW w:type="dxa" w:w="656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color w:val="2C2C2C"/>
                <w:sz w:val="21"/>
                <w:szCs w:val="21"/>
              </w:rPr>
              <w:t xml:space="preserve">Format data as a Table (Ctrl+T) before uploading. Include a header row. Avoid merged cells, colour coding as data identifiers, and blank rows within the dataset.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A4A5E"/>
                <w:sz w:val="21"/>
                <w:szCs w:val="21"/>
              </w:rPr>
              <w:t xml:space="preserve">PDF</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Text-based PDFs work well. Scanned (image-based) PDFs cannot be read — convert to text-based PDF first.</w:t>
            </w:r>
          </w:p>
        </w:tc>
      </w:tr>
      <w:tr>
        <w:tc>
          <w:tcPr>
            <w:tcW w:type="dxa" w:w="280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b/>
                <w:bCs/>
                <w:color w:val="1A4A5E"/>
                <w:sz w:val="21"/>
                <w:szCs w:val="21"/>
              </w:rPr>
              <w:t xml:space="preserve">CSV</w:t>
            </w:r>
          </w:p>
        </w:tc>
        <w:tc>
          <w:tcPr>
            <w:tcW w:type="dxa" w:w="656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color w:val="2C2C2C"/>
                <w:sz w:val="21"/>
                <w:szCs w:val="21"/>
              </w:rPr>
              <w:t xml:space="preserve">Supported. Clean, header-row format performs best.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A4A5E"/>
                <w:sz w:val="21"/>
                <w:szCs w:val="21"/>
              </w:rPr>
              <w:t xml:space="preserve">Multiple files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Multiple files can be uploaded in one session — useful for comparing datasets. Metrics should be consistent across files for best results.</w:t>
            </w:r>
          </w:p>
        </w:tc>
      </w:tr>
      <w:tr>
        <w:tc>
          <w:tcPr>
            <w:tcW w:type="dxa" w:w="280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b/>
                <w:bCs/>
                <w:color w:val="1A4A5E"/>
                <w:sz w:val="21"/>
                <w:szCs w:val="21"/>
              </w:rPr>
              <w:t xml:space="preserve">Colour-coded data</w:t>
            </w:r>
          </w:p>
        </w:tc>
        <w:tc>
          <w:tcPr>
            <w:tcW w:type="dxa" w:w="656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color w:val="2C2C2C"/>
                <w:sz w:val="21"/>
                <w:szCs w:val="21"/>
              </w:rPr>
              <w:t xml:space="preserve">The Agent cannot read cell colours. Replace colour identifiers with a text column (e.g. Status: Red / Amber / Green) before uploading.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9F5EE" w:val="clear"/>
            <w:tcMar>
              <w:top w:type="dxa" w:w="120"/>
              <w:left w:type="dxa" w:w="200"/>
              <w:bottom w:type="dxa" w:w="120"/>
              <w:right w:type="dxa" w:w="200"/>
            </w:tcMar>
          </w:tcPr>
          <w:p>
            <w:pPr>
              <w:spacing w:before="60" w:after="80"/>
            </w:pPr>
            <w:r>
              <w:rPr>
                <w:rFonts w:ascii="Arial" w:cs="Arial" w:eastAsia="Arial" w:hAnsi="Arial"/>
                <w:b/>
                <w:bCs/>
                <w:color w:val="1E6B3C"/>
                <w:sz w:val="22"/>
                <w:szCs w:val="22"/>
              </w:rPr>
              <w:t xml:space="preserve">Data Preparation Checklist</w:t>
            </w:r>
          </w:p>
          <w:p>
            <w:pPr>
              <w:spacing w:before="28" w:after="28"/>
            </w:pPr>
            <w:r>
              <w:rPr>
                <w:rFonts w:ascii="Arial" w:cs="Arial" w:eastAsia="Arial" w:hAnsi="Arial"/>
                <w:color w:val="1E6B3C"/>
                <w:sz w:val="21"/>
                <w:szCs w:val="21"/>
              </w:rPr>
              <w:t xml:space="preserve">▸  </w:t>
            </w:r>
            <w:r>
              <w:rPr>
                <w:rFonts w:ascii="Arial" w:cs="Arial" w:eastAsia="Arial" w:hAnsi="Arial"/>
                <w:color w:val="2C2C2C"/>
                <w:sz w:val="21"/>
                <w:szCs w:val="21"/>
              </w:rPr>
              <w:t xml:space="preserve">Format Excel data as a Table (Ctrl+T) with a clear header row.</w:t>
            </w:r>
          </w:p>
          <w:p>
            <w:pPr>
              <w:spacing w:before="28" w:after="28"/>
            </w:pPr>
            <w:r>
              <w:rPr>
                <w:rFonts w:ascii="Arial" w:cs="Arial" w:eastAsia="Arial" w:hAnsi="Arial"/>
                <w:color w:val="1E6B3C"/>
                <w:sz w:val="21"/>
                <w:szCs w:val="21"/>
              </w:rPr>
              <w:t xml:space="preserve">▸  </w:t>
            </w:r>
            <w:r>
              <w:rPr>
                <w:rFonts w:ascii="Arial" w:cs="Arial" w:eastAsia="Arial" w:hAnsi="Arial"/>
                <w:color w:val="2C2C2C"/>
                <w:sz w:val="21"/>
                <w:szCs w:val="21"/>
              </w:rPr>
              <w:t xml:space="preserve">Remove merged cells and blank rows within the dataset.</w:t>
            </w:r>
          </w:p>
          <w:p>
            <w:pPr>
              <w:spacing w:before="28" w:after="28"/>
            </w:pPr>
            <w:r>
              <w:rPr>
                <w:rFonts w:ascii="Arial" w:cs="Arial" w:eastAsia="Arial" w:hAnsi="Arial"/>
                <w:color w:val="1E6B3C"/>
                <w:sz w:val="21"/>
                <w:szCs w:val="21"/>
              </w:rPr>
              <w:t xml:space="preserve">▸  </w:t>
            </w:r>
            <w:r>
              <w:rPr>
                <w:rFonts w:ascii="Arial" w:cs="Arial" w:eastAsia="Arial" w:hAnsi="Arial"/>
                <w:color w:val="2C2C2C"/>
                <w:sz w:val="21"/>
                <w:szCs w:val="21"/>
              </w:rPr>
              <w:t xml:space="preserve">Replace any colour-coded fields with a text column.</w:t>
            </w:r>
          </w:p>
          <w:p>
            <w:pPr>
              <w:spacing w:before="28" w:after="28"/>
            </w:pPr>
            <w:r>
              <w:rPr>
                <w:rFonts w:ascii="Arial" w:cs="Arial" w:eastAsia="Arial" w:hAnsi="Arial"/>
                <w:color w:val="1E6B3C"/>
                <w:sz w:val="21"/>
                <w:szCs w:val="21"/>
              </w:rPr>
              <w:t xml:space="preserve">▸  </w:t>
            </w:r>
            <w:r>
              <w:rPr>
                <w:rFonts w:ascii="Arial" w:cs="Arial" w:eastAsia="Arial" w:hAnsi="Arial"/>
                <w:color w:val="2C2C2C"/>
                <w:sz w:val="21"/>
                <w:szCs w:val="21"/>
              </w:rPr>
              <w:t xml:space="preserve">Label columns clearly — 'Revenue_GBP' is better than 'Rev' or 'Column D'.</w:t>
            </w:r>
          </w:p>
          <w:p>
            <w:pPr>
              <w:spacing w:before="28" w:after="28"/>
            </w:pPr>
            <w:r>
              <w:rPr>
                <w:rFonts w:ascii="Arial" w:cs="Arial" w:eastAsia="Arial" w:hAnsi="Arial"/>
                <w:color w:val="1E6B3C"/>
                <w:sz w:val="21"/>
                <w:szCs w:val="21"/>
              </w:rPr>
              <w:t xml:space="preserve">▸  </w:t>
            </w:r>
            <w:r>
              <w:rPr>
                <w:rFonts w:ascii="Arial" w:cs="Arial" w:eastAsia="Arial" w:hAnsi="Arial"/>
                <w:color w:val="2C2C2C"/>
                <w:sz w:val="21"/>
                <w:szCs w:val="21"/>
              </w:rPr>
              <w:t xml:space="preserve">If data contains personally identifiable information (PII), anonymise before uploading.</w:t>
            </w:r>
          </w:p>
          <w:p>
            <w:pPr>
              <w:spacing w:before="28" w:after="28"/>
            </w:pPr>
            <w:r>
              <w:rPr>
                <w:rFonts w:ascii="Arial" w:cs="Arial" w:eastAsia="Arial" w:hAnsi="Arial"/>
                <w:color w:val="1E6B3C"/>
                <w:sz w:val="21"/>
                <w:szCs w:val="21"/>
              </w:rPr>
              <w:t xml:space="preserve">▸  </w:t>
            </w:r>
            <w:r>
              <w:rPr>
                <w:rFonts w:ascii="Arial" w:cs="Arial" w:eastAsia="Arial" w:hAnsi="Arial"/>
                <w:color w:val="2C2C2C"/>
                <w:sz w:val="21"/>
                <w:szCs w:val="21"/>
              </w:rPr>
              <w:t xml:space="preserve">Use Kaggle.com for free public datasets if testing without real business data.</w:t>
            </w:r>
          </w:p>
        </w:tc>
      </w:tr>
    </w:tbl>
    <w:p>
      <w:pPr>
        <w:spacing w:before="100" w:after="0"/>
      </w:pPr>
      <w:r>
        <w:t xml:space="preserve"/>
      </w:r>
    </w:p>
    <w:p>
      <w:pPr>
        <w:pStyle w:val="Heading2"/>
        <w:spacing w:before="240" w:after="80"/>
      </w:pPr>
      <w:r>
        <w:rPr>
          <w:rFonts w:ascii="Arial" w:cs="Arial" w:eastAsia="Arial" w:hAnsi="Arial"/>
          <w:b/>
          <w:bCs/>
          <w:color w:val="2980B9"/>
          <w:sz w:val="24"/>
          <w:szCs w:val="24"/>
        </w:rPr>
        <w:t xml:space="preserve">A Note on Privacy</w:t>
      </w:r>
    </w:p>
    <w:p>
      <w:pPr>
        <w:spacing w:before="40" w:after="40"/>
      </w:pPr>
      <w:r>
        <w:rPr>
          <w:rFonts w:ascii="Arial" w:cs="Arial" w:eastAsia="Arial" w:hAnsi="Arial"/>
          <w:color w:val="2C2C2C"/>
          <w:sz w:val="22"/>
          <w:szCs w:val="22"/>
        </w:rPr>
        <w:t xml:space="preserve">Participants may be hesitant to upload real business data. Address this directly.</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FF8E6" w:val="clear"/>
            <w:tcMar>
              <w:top w:type="dxa" w:w="120"/>
              <w:left w:type="dxa" w:w="200"/>
              <w:bottom w:type="dxa" w:w="120"/>
              <w:right w:type="dxa" w:w="200"/>
            </w:tcMar>
          </w:tcPr>
          <w:p>
            <w:pPr>
              <w:spacing w:before="60" w:after="80"/>
            </w:pPr>
            <w:r>
              <w:rPr>
                <w:rFonts w:ascii="Arial" w:cs="Arial" w:eastAsia="Arial" w:hAnsi="Arial"/>
                <w:b/>
                <w:bCs/>
                <w:color w:val="7B4F00"/>
                <w:sz w:val="22"/>
                <w:szCs w:val="22"/>
              </w:rPr>
              <w:t xml:space="preserve">Data Privacy Before Uploading</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The Analyst Agent operates within the Microsoft 365 enterprise security boundary — the same protections that apply to your emails and documents apply here.</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Do not upload data containing personal information (names, NI numbers, salaries linked to individuals) unless your organisation's data governance policy explicitly permits it.</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For practice sessions or initial testing, use anonymised or synthetic data — or a public dataset from Kaggle.com.</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When in doubt, check with your IT or Data Protection team before uploading.</w:t>
            </w:r>
          </w:p>
        </w:tc>
      </w:tr>
    </w:tbl>
    <w:p>
      <w:pPr>
        <w:spacing w:before="160" w:after="0"/>
      </w:pPr>
      <w:r>
        <w:t xml:space="preserve"/>
      </w:r>
    </w:p>
    <w:p>
      <w:pPr>
        <w:pStyle w:val="Heading1"/>
        <w:pBdr>
          <w:bottom w:val="single" w:color="1A4A5E" w:sz="8" w:space="4"/>
        </w:pBdr>
        <w:spacing w:before="360" w:after="120"/>
      </w:pPr>
      <w:r>
        <w:rPr>
          <w:rFonts w:ascii="Arial" w:cs="Arial" w:eastAsia="Arial" w:hAnsi="Arial"/>
          <w:b/>
          <w:bCs/>
          <w:color w:val="1A4A5E"/>
          <w:sz w:val="28"/>
          <w:szCs w:val="28"/>
        </w:rPr>
        <w:t xml:space="preserve">Module 4: Core Capabilities and Workflows</w:t>
      </w:r>
    </w:p>
    <w:p>
      <w:pPr>
        <w:pStyle w:val="Heading2"/>
        <w:spacing w:before="240" w:after="80"/>
      </w:pPr>
      <w:r>
        <w:rPr>
          <w:rFonts w:ascii="Arial" w:cs="Arial" w:eastAsia="Arial" w:hAnsi="Arial"/>
          <w:b/>
          <w:bCs/>
          <w:color w:val="2980B9"/>
          <w:sz w:val="24"/>
          <w:szCs w:val="24"/>
        </w:rPr>
        <w:t xml:space="preserve">1. Exploring and Understanding Your Data</w:t>
      </w:r>
    </w:p>
    <w:p>
      <w:pPr>
        <w:spacing w:before="40" w:after="40"/>
      </w:pPr>
      <w:r>
        <w:rPr>
          <w:rFonts w:ascii="Arial" w:cs="Arial" w:eastAsia="Arial" w:hAnsi="Arial"/>
          <w:color w:val="2C2C2C"/>
          <w:sz w:val="22"/>
          <w:szCs w:val="22"/>
        </w:rPr>
        <w:t xml:space="preserve">Start every new dataset with an exploratory prompt. This establishes what the data contains, flags quality issues, and helps both you and the Agent understand the structure before doing deeper analysis.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980B9" w:sz="12"/>
              <w:bottom w:val="single" w:color="BDD7EE" w:sz="1"/>
              <w:right w:val="none" w:color="FFFFFF" w:sz="0"/>
            </w:tcBorders>
            <w:shd w:fill="F0F7FA" w:val="clear"/>
            <w:tcMar>
              <w:top w:type="dxa" w:w="100"/>
              <w:left w:type="dxa" w:w="220"/>
              <w:bottom w:type="dxa" w:w="100"/>
              <w:right w:type="dxa" w:w="200"/>
            </w:tcMar>
          </w:tcPr>
          <w:p>
            <w:pPr>
              <w:spacing w:before="40" w:after="80"/>
            </w:pPr>
            <w:r>
              <w:rPr>
                <w:rFonts w:ascii="Arial" w:cs="Arial" w:eastAsia="Arial" w:hAnsi="Arial"/>
                <w:b/>
                <w:bCs/>
                <w:i/>
                <w:iCs/>
                <w:color w:val="595959"/>
                <w:sz w:val="20"/>
                <w:szCs w:val="20"/>
              </w:rPr>
              <w:t xml:space="preserve">Exploratory prompts — start here</w:t>
            </w:r>
          </w:p>
          <w:p>
            <w:pPr>
              <w:spacing w:before="18" w:after="18"/>
            </w:pPr>
            <w:r>
              <w:rPr>
                <w:rFonts w:ascii="Courier New" w:cs="Courier New" w:eastAsia="Courier New" w:hAnsi="Courier New"/>
                <w:color w:val="1A1A1A"/>
                <w:sz w:val="21"/>
                <w:szCs w:val="21"/>
              </w:rPr>
              <w:t xml:space="preserve">"Describe this dataset. What does it contain, how many rows and columns,",</w:t>
            </w:r>
          </w:p>
          <w:p>
            <w:pPr>
              <w:spacing w:before="18" w:after="18"/>
            </w:pPr>
            <w:r>
              <w:rPr>
                <w:rFonts w:ascii="Courier New" w:cs="Courier New" w:eastAsia="Courier New" w:hAnsi="Courier New"/>
                <w:color w:val="1A1A1A"/>
                <w:sz w:val="21"/>
                <w:szCs w:val="21"/>
              </w:rPr>
              <w:t xml:space="preserve"> and what are the key fields?"</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"Are there any missing values, blank fields, or data quality issues I should know about?"</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"What is the range of values in the [column name] field? Are there any outliers?"</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"Summarise the dataset in 5 bullet points suitable for someone who has not seen it before."</w:t>
            </w:r>
          </w:p>
        </w:tc>
      </w:tr>
    </w:tbl>
    <w:p>
      <w:pPr>
        <w:spacing w:before="100" w:after="0"/>
      </w:pPr>
      <w:r>
        <w:t xml:space="preserve"/>
      </w:r>
    </w:p>
    <w:p>
      <w:pPr>
        <w:pStyle w:val="Heading2"/>
        <w:spacing w:before="240" w:after="80"/>
      </w:pPr>
      <w:r>
        <w:rPr>
          <w:rFonts w:ascii="Arial" w:cs="Arial" w:eastAsia="Arial" w:hAnsi="Arial"/>
          <w:b/>
          <w:bCs/>
          <w:color w:val="2980B9"/>
          <w:sz w:val="24"/>
          <w:szCs w:val="24"/>
        </w:rPr>
        <w:t xml:space="preserve">2. Asking Questions About Your Data</w:t>
      </w:r>
    </w:p>
    <w:p>
      <w:pPr>
        <w:spacing w:before="40" w:after="40"/>
      </w:pPr>
      <w:r>
        <w:rPr>
          <w:rFonts w:ascii="Arial" w:cs="Arial" w:eastAsia="Arial" w:hAnsi="Arial"/>
          <w:color w:val="2C2C2C"/>
          <w:sz w:val="22"/>
          <w:szCs w:val="22"/>
        </w:rPr>
        <w:t xml:space="preserve">Once you understand the structure, query the data in plain English. The Agent performs real calculations — not estimates.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980B9" w:sz="12"/>
              <w:bottom w:val="single" w:color="BDD7EE" w:sz="1"/>
              <w:right w:val="none" w:color="FFFFFF" w:sz="0"/>
            </w:tcBorders>
            <w:shd w:fill="F0F7FA" w:val="clear"/>
            <w:tcMar>
              <w:top w:type="dxa" w:w="100"/>
              <w:left w:type="dxa" w:w="220"/>
              <w:bottom w:type="dxa" w:w="100"/>
              <w:right w:type="dxa" w:w="200"/>
            </w:tcMar>
          </w:tcPr>
          <w:p>
            <w:pPr>
              <w:spacing w:before="40" w:after="80"/>
            </w:pPr>
            <w:r>
              <w:rPr>
                <w:rFonts w:ascii="Arial" w:cs="Arial" w:eastAsia="Arial" w:hAnsi="Arial"/>
                <w:b/>
                <w:bCs/>
                <w:i/>
                <w:iCs/>
                <w:color w:val="595959"/>
                <w:sz w:val="20"/>
                <w:szCs w:val="20"/>
              </w:rPr>
              <w:t xml:space="preserve">Data query prompts</w:t>
            </w:r>
          </w:p>
          <w:p>
            <w:pPr>
              <w:spacing w:before="18" w:after="18"/>
            </w:pPr>
            <w:r>
              <w:rPr>
                <w:rFonts w:ascii="Courier New" w:cs="Courier New" w:eastAsia="Courier New" w:hAnsi="Courier New"/>
                <w:color w:val="1A1A1A"/>
                <w:sz w:val="21"/>
                <w:szCs w:val="21"/>
              </w:rPr>
              <w:t xml:space="preserve">"What was the highest revenue month in the last 12 months?"</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"Which product category had the lowest average margin?"</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"How many customers made more than 5 purchases in the last quarter?"</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"What is the average time between a lead being created and a deal closing?"</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"Which sales rep closed the most deals in Q3? How does their close rate compare</w:t>
            </w:r>
          </w:p>
          <w:p>
            <w:pPr>
              <w:spacing w:before="18" w:after="18"/>
            </w:pPr>
            <w:r>
              <w:rPr>
                <w:rFonts w:ascii="Courier New" w:cs="Courier New" w:eastAsia="Courier New" w:hAnsi="Courier New"/>
                <w:color w:val="1A1A1A"/>
                <w:sz w:val="21"/>
                <w:szCs w:val="21"/>
              </w:rPr>
              <w:t xml:space="preserve"> to the team average?"</w:t>
            </w:r>
          </w:p>
        </w:tc>
      </w:tr>
    </w:tbl>
    <w:p>
      <w:pPr>
        <w:spacing w:before="100" w:after="0"/>
      </w:pPr>
      <w:r>
        <w:t xml:space="preserve"/>
      </w:r>
    </w:p>
    <w:p>
      <w:pPr>
        <w:pStyle w:val="Heading2"/>
        <w:spacing w:before="240" w:after="80"/>
      </w:pPr>
      <w:r>
        <w:rPr>
          <w:rFonts w:ascii="Arial" w:cs="Arial" w:eastAsia="Arial" w:hAnsi="Arial"/>
          <w:b/>
          <w:bCs/>
          <w:color w:val="2980B9"/>
          <w:sz w:val="24"/>
          <w:szCs w:val="24"/>
        </w:rPr>
        <w:t xml:space="preserve">3. Identifying Trends, Patterns, and Anomalies</w:t>
      </w:r>
    </w:p>
    <w:p>
      <w:pPr>
        <w:spacing w:before="40" w:after="40"/>
      </w:pPr>
      <w:r>
        <w:rPr>
          <w:rFonts w:ascii="Arial" w:cs="Arial" w:eastAsia="Arial" w:hAnsi="Arial"/>
          <w:color w:val="2C2C2C"/>
          <w:sz w:val="22"/>
          <w:szCs w:val="22"/>
        </w:rPr>
        <w:t xml:space="preserve">The Agent can scan large datasets and surface patterns that would take significant time to find manually.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980B9" w:sz="12"/>
              <w:bottom w:val="single" w:color="BDD7EE" w:sz="1"/>
              <w:right w:val="none" w:color="FFFFFF" w:sz="0"/>
            </w:tcBorders>
            <w:shd w:fill="F0F7FA" w:val="clear"/>
            <w:tcMar>
              <w:top w:type="dxa" w:w="100"/>
              <w:left w:type="dxa" w:w="220"/>
              <w:bottom w:type="dxa" w:w="100"/>
              <w:right w:type="dxa" w:w="200"/>
            </w:tcMar>
          </w:tcPr>
          <w:p>
            <w:pPr>
              <w:spacing w:before="40" w:after="80"/>
            </w:pPr>
            <w:r>
              <w:rPr>
                <w:rFonts w:ascii="Arial" w:cs="Arial" w:eastAsia="Arial" w:hAnsi="Arial"/>
                <w:b/>
                <w:bCs/>
                <w:i/>
                <w:iCs/>
                <w:color w:val="595959"/>
                <w:sz w:val="20"/>
                <w:szCs w:val="20"/>
              </w:rPr>
              <w:t xml:space="preserve">Trend and anomaly prompts</w:t>
            </w:r>
          </w:p>
          <w:p>
            <w:pPr>
              <w:spacing w:before="18" w:after="18"/>
            </w:pPr>
            <w:r>
              <w:rPr>
                <w:rFonts w:ascii="Courier New" w:cs="Courier New" w:eastAsia="Courier New" w:hAnsi="Courier New"/>
                <w:color w:val="1A1A1A"/>
                <w:sz w:val="21"/>
                <w:szCs w:val="21"/>
              </w:rPr>
              <w:t xml:space="preserve">"Are there any months where revenue dropped significantly compared to the trend?</w:t>
            </w:r>
          </w:p>
          <w:p>
            <w:pPr>
              <w:spacing w:before="18" w:after="18"/>
            </w:pPr>
            <w:r>
              <w:rPr>
                <w:rFonts w:ascii="Courier New" w:cs="Courier New" w:eastAsia="Courier New" w:hAnsi="Courier New"/>
                <w:color w:val="1A1A1A"/>
                <w:sz w:val="21"/>
                <w:szCs w:val="21"/>
              </w:rPr>
              <w:t xml:space="preserve"> What might explain the drop?"</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"Identify any outliers in the expense data. Which entries are significantly above average?"</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"Has customer churn increased or decreased over the past 6 months? Show the trend."</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"Are there any patterns in the data that I should be paying attention to?"</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"Identify the top 3 factors that correlate with high customer lifetime value in this dataset."</w:t>
            </w:r>
          </w:p>
        </w:tc>
      </w:tr>
    </w:tbl>
    <w:p>
      <w:pPr>
        <w:spacing w:before="100" w:after="0"/>
      </w:pPr>
      <w:r>
        <w:t xml:space="preserve"/>
      </w:r>
    </w:p>
    <w:p>
      <w:pPr>
        <w:pStyle w:val="Heading2"/>
        <w:spacing w:before="240" w:after="80"/>
      </w:pPr>
      <w:r>
        <w:rPr>
          <w:rFonts w:ascii="Arial" w:cs="Arial" w:eastAsia="Arial" w:hAnsi="Arial"/>
          <w:b/>
          <w:bCs/>
          <w:color w:val="2980B9"/>
          <w:sz w:val="24"/>
          <w:szCs w:val="24"/>
        </w:rPr>
        <w:t xml:space="preserve">4. Creating Charts and Visualisations</w:t>
      </w:r>
    </w:p>
    <w:p>
      <w:pPr>
        <w:spacing w:before="40" w:after="40"/>
      </w:pPr>
      <w:r>
        <w:rPr>
          <w:rFonts w:ascii="Arial" w:cs="Arial" w:eastAsia="Arial" w:hAnsi="Arial"/>
          <w:color w:val="2C2C2C"/>
          <w:sz w:val="22"/>
          <w:szCs w:val="22"/>
        </w:rPr>
        <w:t xml:space="preserve">The Agent generates charts automatically or on request — no coding or chart-building required. Charts can be downloaded directly from the conversation.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980B9" w:sz="12"/>
              <w:bottom w:val="single" w:color="BDD7EE" w:sz="1"/>
              <w:right w:val="none" w:color="FFFFFF" w:sz="0"/>
            </w:tcBorders>
            <w:shd w:fill="F0F7FA" w:val="clear"/>
            <w:tcMar>
              <w:top w:type="dxa" w:w="100"/>
              <w:left w:type="dxa" w:w="220"/>
              <w:bottom w:type="dxa" w:w="100"/>
              <w:right w:type="dxa" w:w="200"/>
            </w:tcMar>
          </w:tcPr>
          <w:p>
            <w:pPr>
              <w:spacing w:before="40" w:after="80"/>
            </w:pPr>
            <w:r>
              <w:rPr>
                <w:rFonts w:ascii="Arial" w:cs="Arial" w:eastAsia="Arial" w:hAnsi="Arial"/>
                <w:b/>
                <w:bCs/>
                <w:i/>
                <w:iCs/>
                <w:color w:val="595959"/>
                <w:sz w:val="20"/>
                <w:szCs w:val="20"/>
              </w:rPr>
              <w:t xml:space="preserve">Visualisation prompts</w:t>
            </w:r>
          </w:p>
          <w:p>
            <w:pPr>
              <w:spacing w:before="18" w:after="18"/>
            </w:pPr>
            <w:r>
              <w:rPr>
                <w:rFonts w:ascii="Courier New" w:cs="Courier New" w:eastAsia="Courier New" w:hAnsi="Courier New"/>
                <w:color w:val="1A1A1A"/>
                <w:sz w:val="21"/>
                <w:szCs w:val="21"/>
              </w:rPr>
              <w:t xml:space="preserve">"Create a bar chart showing total sales by region for Q4."</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"Generate a line chart showing monthly revenue trend over the past 12 months.</w:t>
            </w:r>
          </w:p>
          <w:p>
            <w:pPr>
              <w:spacing w:before="18" w:after="18"/>
            </w:pPr>
            <w:r>
              <w:rPr>
                <w:rFonts w:ascii="Courier New" w:cs="Courier New" w:eastAsia="Courier New" w:hAnsi="Courier New"/>
                <w:color w:val="1A1A1A"/>
                <w:sz w:val="21"/>
                <w:szCs w:val="21"/>
              </w:rPr>
              <w:t xml:space="preserve"> Add a trend line."</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"Show the top 10 customers by revenue as a horizontal bar chart."</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"Create a pie chart showing the proportion of revenue by product category."</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"Produce a table showing each sales rep's total deals, total revenue,</w:t>
            </w:r>
          </w:p>
          <w:p>
            <w:pPr>
              <w:spacing w:before="18" w:after="18"/>
            </w:pPr>
            <w:r>
              <w:rPr>
                <w:rFonts w:ascii="Courier New" w:cs="Courier New" w:eastAsia="Courier New" w:hAnsi="Courier New"/>
                <w:color w:val="1A1A1A"/>
                <w:sz w:val="21"/>
                <w:szCs w:val="21"/>
              </w:rPr>
              <w:t xml:space="preserve"> and average deal size, sorted by total revenue descending."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Downloading Visuals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Charts and tables generated by the Analyst Agent can be copied or downloaded directly from the chat.</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Right-click on a chart to save it as an image, or use the download icon if visible.</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Paste visuals directly into PowerPoint or Word for reporting — no reformatting needed in most cases.</w:t>
            </w:r>
          </w:p>
        </w:tc>
      </w:tr>
    </w:tbl>
    <w:p>
      <w:pPr>
        <w:spacing w:before="100" w:after="0"/>
      </w:pPr>
      <w:r>
        <w:t xml:space="preserve"/>
      </w:r>
    </w:p>
    <w:p>
      <w:pPr>
        <w:pStyle w:val="Heading2"/>
        <w:spacing w:before="240" w:after="80"/>
      </w:pPr>
      <w:r>
        <w:rPr>
          <w:rFonts w:ascii="Arial" w:cs="Arial" w:eastAsia="Arial" w:hAnsi="Arial"/>
          <w:b/>
          <w:bCs/>
          <w:color w:val="2980B9"/>
          <w:sz w:val="24"/>
          <w:szCs w:val="24"/>
        </w:rPr>
        <w:t xml:space="preserve">5. Comparing Multiple Datasets</w:t>
      </w:r>
    </w:p>
    <w:p>
      <w:pPr>
        <w:spacing w:before="40" w:after="40"/>
      </w:pPr>
      <w:r>
        <w:rPr>
          <w:rFonts w:ascii="Arial" w:cs="Arial" w:eastAsia="Arial" w:hAnsi="Arial"/>
          <w:color w:val="2C2C2C"/>
          <w:sz w:val="22"/>
          <w:szCs w:val="22"/>
        </w:rPr>
        <w:t xml:space="preserve">Upload two or more files to compare datasets across periods, teams, or regions.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980B9" w:sz="12"/>
              <w:bottom w:val="single" w:color="BDD7EE" w:sz="1"/>
              <w:right w:val="none" w:color="FFFFFF" w:sz="0"/>
            </w:tcBorders>
            <w:shd w:fill="F0F7FA" w:val="clear"/>
            <w:tcMar>
              <w:top w:type="dxa" w:w="100"/>
              <w:left w:type="dxa" w:w="220"/>
              <w:bottom w:type="dxa" w:w="100"/>
              <w:right w:type="dxa" w:w="200"/>
            </w:tcMar>
          </w:tcPr>
          <w:p>
            <w:pPr>
              <w:spacing w:before="40" w:after="80"/>
            </w:pPr>
            <w:r>
              <w:rPr>
                <w:rFonts w:ascii="Arial" w:cs="Arial" w:eastAsia="Arial" w:hAnsi="Arial"/>
                <w:b/>
                <w:bCs/>
                <w:i/>
                <w:iCs/>
                <w:color w:val="595959"/>
                <w:sz w:val="20"/>
                <w:szCs w:val="20"/>
              </w:rPr>
              <w:t xml:space="preserve">Comparison prompts</w:t>
            </w:r>
          </w:p>
          <w:p>
            <w:pPr>
              <w:spacing w:before="18" w:after="18"/>
            </w:pPr>
            <w:r>
              <w:rPr>
                <w:rFonts w:ascii="Courier New" w:cs="Courier New" w:eastAsia="Courier New" w:hAnsi="Courier New"/>
                <w:color w:val="1A1A1A"/>
                <w:sz w:val="21"/>
                <w:szCs w:val="21"/>
              </w:rPr>
              <w:t xml:space="preserve">"Compare this month's sales data to last month's. What has changed significantly?"</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"I have uploaded data for two regional teams. Which team performed better on</w:t>
            </w:r>
          </w:p>
          <w:p>
            <w:pPr>
              <w:spacing w:before="18" w:after="18"/>
            </w:pPr>
            <w:r>
              <w:rPr>
                <w:rFonts w:ascii="Courier New" w:cs="Courier New" w:eastAsia="Courier New" w:hAnsi="Courier New"/>
                <w:color w:val="1A1A1A"/>
                <w:sz w:val="21"/>
                <w:szCs w:val="21"/>
              </w:rPr>
              <w:t xml:space="preserve"> revenue, volume, and average deal size?"</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"Compare the Q1 budget to actual spend. Where are the largest variances?"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FF8E6" w:val="clear"/>
            <w:tcMar>
              <w:top w:type="dxa" w:w="120"/>
              <w:left w:type="dxa" w:w="200"/>
              <w:bottom w:type="dxa" w:w="120"/>
              <w:right w:type="dxa" w:w="200"/>
            </w:tcMar>
          </w:tcPr>
          <w:p>
            <w:pPr>
              <w:spacing w:before="60" w:after="80"/>
            </w:pPr>
            <w:r>
              <w:rPr>
                <w:rFonts w:ascii="Arial" w:cs="Arial" w:eastAsia="Arial" w:hAnsi="Arial"/>
                <w:b/>
                <w:bCs/>
                <w:color w:val="7B4F00"/>
                <w:sz w:val="22"/>
                <w:szCs w:val="22"/>
              </w:rPr>
              <w:t xml:space="preserve">When Comparing Datasets</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Comparison works best when both datasets use the same column names and metrics.</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If metrics differ between files, tell the Agent explicitly: 'The column labelled Revenue in File 1 corresponds to Gross Sales in File 2.'</w:t>
            </w:r>
          </w:p>
          <w:p>
            <w:pPr>
              <w:spacing w:before="28" w:after="28"/>
            </w:pPr>
            <w:r>
              <w:rPr>
                <w:rFonts w:ascii="Arial" w:cs="Arial" w:eastAsia="Arial" w:hAnsi="Arial"/>
                <w:color w:val="7B4F00"/>
                <w:sz w:val="21"/>
                <w:szCs w:val="21"/>
              </w:rPr>
              <w:t xml:space="preserve">▸  </w:t>
            </w:r>
            <w:r>
              <w:rPr>
                <w:rFonts w:ascii="Arial" w:cs="Arial" w:eastAsia="Arial" w:hAnsi="Arial"/>
                <w:color w:val="2C2C2C"/>
                <w:sz w:val="21"/>
                <w:szCs w:val="21"/>
              </w:rPr>
              <w:t xml:space="preserve">For very different datasets, analyse each separately first, then ask the Agent to compare its findings.</w:t>
            </w:r>
          </w:p>
        </w:tc>
      </w:tr>
    </w:tbl>
    <w:p>
      <w:pPr>
        <w:spacing w:before="100" w:after="0"/>
      </w:pPr>
      <w:r>
        <w:t xml:space="preserve"/>
      </w:r>
    </w:p>
    <w:p>
      <w:pPr>
        <w:pStyle w:val="Heading2"/>
        <w:spacing w:before="240" w:after="80"/>
      </w:pPr>
      <w:r>
        <w:rPr>
          <w:rFonts w:ascii="Arial" w:cs="Arial" w:eastAsia="Arial" w:hAnsi="Arial"/>
          <w:b/>
          <w:bCs/>
          <w:color w:val="2980B9"/>
          <w:sz w:val="24"/>
          <w:szCs w:val="24"/>
        </w:rPr>
        <w:t xml:space="preserve">6. Generating Reports</w:t>
      </w:r>
    </w:p>
    <w:p>
      <w:pPr>
        <w:spacing w:before="40" w:after="40"/>
      </w:pPr>
      <w:r>
        <w:rPr>
          <w:rFonts w:ascii="Arial" w:cs="Arial" w:eastAsia="Arial" w:hAnsi="Arial"/>
          <w:color w:val="2C2C2C"/>
          <w:sz w:val="22"/>
          <w:szCs w:val="22"/>
        </w:rPr>
        <w:t xml:space="preserve">The Agent can produce written reports and summaries from its analysis — tailored to a specific audience or format.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980B9" w:sz="12"/>
              <w:bottom w:val="single" w:color="BDD7EE" w:sz="1"/>
              <w:right w:val="none" w:color="FFFFFF" w:sz="0"/>
            </w:tcBorders>
            <w:shd w:fill="F0F7FA" w:val="clear"/>
            <w:tcMar>
              <w:top w:type="dxa" w:w="100"/>
              <w:left w:type="dxa" w:w="220"/>
              <w:bottom w:type="dxa" w:w="100"/>
              <w:right w:type="dxa" w:w="200"/>
            </w:tcMar>
          </w:tcPr>
          <w:p>
            <w:pPr>
              <w:spacing w:before="40" w:after="80"/>
            </w:pPr>
            <w:r>
              <w:rPr>
                <w:rFonts w:ascii="Arial" w:cs="Arial" w:eastAsia="Arial" w:hAnsi="Arial"/>
                <w:b/>
                <w:bCs/>
                <w:i/>
                <w:iCs/>
                <w:color w:val="595959"/>
                <w:sz w:val="20"/>
                <w:szCs w:val="20"/>
              </w:rPr>
              <w:t xml:space="preserve">Report generation prompts</w:t>
            </w:r>
          </w:p>
          <w:p>
            <w:pPr>
              <w:spacing w:before="18" w:after="18"/>
            </w:pPr>
            <w:r>
              <w:rPr>
                <w:rFonts w:ascii="Courier New" w:cs="Courier New" w:eastAsia="Courier New" w:hAnsi="Courier New"/>
                <w:color w:val="1A1A1A"/>
                <w:sz w:val="21"/>
                <w:szCs w:val="21"/>
              </w:rPr>
              <w:t xml:space="preserve">"Write a one-page executive summary of the key findings from this dataset.</w:t>
            </w:r>
          </w:p>
          <w:p>
            <w:pPr>
              <w:spacing w:before="18" w:after="18"/>
            </w:pPr>
            <w:r>
              <w:rPr>
                <w:rFonts w:ascii="Courier New" w:cs="Courier New" w:eastAsia="Courier New" w:hAnsi="Courier New"/>
                <w:color w:val="1A1A1A"/>
                <w:sz w:val="21"/>
                <w:szCs w:val="21"/>
              </w:rPr>
              <w:t xml:space="preserve"> Audience: senior leadership. Focus on performance versus target, top risks, and recommendations."</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"Generate a monthly performance report based on this sales data.</w:t>
            </w:r>
          </w:p>
          <w:p>
            <w:pPr>
              <w:spacing w:before="18" w:after="18"/>
            </w:pPr>
            <w:r>
              <w:rPr>
                <w:rFonts w:ascii="Courier New" w:cs="Courier New" w:eastAsia="Courier New" w:hAnsi="Courier New"/>
                <w:color w:val="1A1A1A"/>
                <w:sz w:val="21"/>
                <w:szCs w:val="21"/>
              </w:rPr>
              <w:t xml:space="preserve"> Include: headline metrics, top performers, underperformers, and trend commentary."</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"Create a bullet-point summary of this analysis suitable for a team briefing.</w:t>
            </w:r>
          </w:p>
          <w:p>
            <w:pPr>
              <w:spacing w:before="18" w:after="18"/>
            </w:pPr>
            <w:r>
              <w:rPr>
                <w:rFonts w:ascii="Courier New" w:cs="Courier New" w:eastAsia="Courier New" w:hAnsi="Courier New"/>
                <w:color w:val="1A1A1A"/>
                <w:sz w:val="21"/>
                <w:szCs w:val="21"/>
              </w:rPr>
              <w:t xml:space="preserve"> Avoid technical language."</w:t>
            </w:r>
          </w:p>
        </w:tc>
      </w:tr>
    </w:tbl>
    <w:p>
      <w:pPr>
        <w:spacing w:before="160" w:after="0"/>
      </w:pPr>
      <w:r>
        <w:t xml:space="preserve"/>
      </w:r>
    </w:p>
    <w:p>
      <w:pPr>
        <w:pStyle w:val="Heading1"/>
        <w:pBdr>
          <w:bottom w:val="single" w:color="1A4A5E" w:sz="8" w:space="4"/>
        </w:pBdr>
        <w:spacing w:before="360" w:after="120"/>
      </w:pPr>
      <w:r>
        <w:rPr>
          <w:rFonts w:ascii="Arial" w:cs="Arial" w:eastAsia="Arial" w:hAnsi="Arial"/>
          <w:b/>
          <w:bCs/>
          <w:color w:val="1A4A5E"/>
          <w:sz w:val="28"/>
          <w:szCs w:val="28"/>
        </w:rPr>
        <w:t xml:space="preserve">Module 5: Advanced Prompting for the Analyst Agent</w:t>
      </w:r>
    </w:p>
    <w:p>
      <w:pPr>
        <w:pStyle w:val="Heading2"/>
        <w:spacing w:before="240" w:after="80"/>
      </w:pPr>
      <w:r>
        <w:rPr>
          <w:rFonts w:ascii="Arial" w:cs="Arial" w:eastAsia="Arial" w:hAnsi="Arial"/>
          <w:b/>
          <w:bCs/>
          <w:color w:val="2980B9"/>
          <w:sz w:val="24"/>
          <w:szCs w:val="24"/>
        </w:rPr>
        <w:t xml:space="preserve">Audience-Specific Outputs</w:t>
      </w:r>
    </w:p>
    <w:p>
      <w:pPr>
        <w:spacing w:before="40" w:after="40"/>
      </w:pPr>
      <w:r>
        <w:rPr>
          <w:rFonts w:ascii="Arial" w:cs="Arial" w:eastAsia="Arial" w:hAnsi="Arial"/>
          <w:color w:val="2C2C2C"/>
          <w:sz w:val="22"/>
          <w:szCs w:val="22"/>
        </w:rPr>
        <w:t xml:space="preserve">The same data analysis should be presented differently depending on who will read it. The Agent can tailor output for different audiences with a single instruction.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DD7EE" w:sz="1"/>
              <w:left w:val="single" w:color="BDD7EE" w:sz="1"/>
              <w:bottom w:val="single" w:color="BDD7EE" w:sz="1"/>
              <w:right w:val="single" w:color="BDD7EE" w:sz="1"/>
            </w:tcBorders>
            <w:shd w:fill="1A4A5E" w:val="clear"/>
            <w:tcMar>
              <w:top w:type="dxa" w:w="80"/>
              <w:left w:type="dxa" w:w="130"/>
              <w:bottom w:type="dxa" w:w="80"/>
              <w:right w:type="dxa" w:w="130"/>
            </w:tcMar>
          </w:tcPr>
          <w:p>
            <w:r>
              <w:rPr>
                <w:rFonts w:ascii="Arial" w:cs="Arial" w:eastAsia="Arial" w:hAnsi="Arial"/>
                <w:b/>
                <w:bCs/>
                <w:color w:val="FFFFFF"/>
                <w:sz w:val="21"/>
                <w:szCs w:val="21"/>
              </w:rPr>
              <w:t xml:space="preserve">Audience</w:t>
            </w:r>
          </w:p>
        </w:tc>
        <w:tc>
          <w:tcPr>
            <w:tcW w:type="dxa" w:w="3480"/>
            <w:tcBorders>
              <w:top w:val="single" w:color="BDD7EE" w:sz="1"/>
              <w:left w:val="single" w:color="BDD7EE" w:sz="1"/>
              <w:bottom w:val="single" w:color="BDD7EE" w:sz="1"/>
              <w:right w:val="single" w:color="BDD7EE" w:sz="1"/>
            </w:tcBorders>
            <w:shd w:fill="1A4A5E" w:val="clear"/>
            <w:tcMar>
              <w:top w:type="dxa" w:w="80"/>
              <w:left w:type="dxa" w:w="130"/>
              <w:bottom w:type="dxa" w:w="80"/>
              <w:right w:type="dxa" w:w="130"/>
            </w:tcMar>
          </w:tcPr>
          <w:p>
            <w:r>
              <w:rPr>
                <w:rFonts w:ascii="Arial" w:cs="Arial" w:eastAsia="Arial" w:hAnsi="Arial"/>
                <w:b/>
                <w:bCs/>
                <w:color w:val="FFFFFF"/>
                <w:sz w:val="21"/>
                <w:szCs w:val="21"/>
              </w:rPr>
              <w:t xml:space="preserve">What to emphasise</w:t>
            </w:r>
          </w:p>
        </w:tc>
        <w:tc>
          <w:tcPr>
            <w:tcW w:type="dxa" w:w="3480"/>
            <w:tcBorders>
              <w:top w:val="single" w:color="BDD7EE" w:sz="1"/>
              <w:left w:val="single" w:color="BDD7EE" w:sz="1"/>
              <w:bottom w:val="single" w:color="BDD7EE" w:sz="1"/>
              <w:right w:val="single" w:color="BDD7EE" w:sz="1"/>
            </w:tcBorders>
            <w:shd w:fill="1A4A5E" w:val="clear"/>
            <w:tcMar>
              <w:top w:type="dxa" w:w="80"/>
              <w:left w:type="dxa" w:w="130"/>
              <w:bottom w:type="dxa" w:w="80"/>
              <w:right w:type="dxa" w:w="130"/>
            </w:tcMar>
          </w:tcPr>
          <w:p>
            <w:r>
              <w:rPr>
                <w:rFonts w:ascii="Arial" w:cs="Arial" w:eastAsia="Arial" w:hAnsi="Arial"/>
                <w:b/>
                <w:bCs/>
                <w:color w:val="FFFFFF"/>
                <w:sz w:val="21"/>
                <w:szCs w:val="21"/>
              </w:rPr>
              <w:t xml:space="preserve">Example prompt</w:t>
            </w:r>
          </w:p>
        </w:tc>
      </w:tr>
      <w:tr>
        <w:tc>
          <w:tcPr>
            <w:tcW w:type="dxa" w:w="2400"/>
            <w:tcBorders>
              <w:top w:val="single" w:color="BDD7EE" w:sz="1"/>
              <w:left w:val="single" w:color="BDD7EE" w:sz="1"/>
              <w:bottom w:val="single" w:color="BDD7EE" w:sz="1"/>
              <w:right w:val="single" w:color="BDD7EE" w:sz="1"/>
            </w:tcBorders>
            <w:shd w:fill="E6F2F7" w:val="clear"/>
            <w:tcMar>
              <w:top w:type="dxa" w:w="80"/>
              <w:left w:type="dxa" w:w="130"/>
              <w:bottom w:type="dxa" w:w="80"/>
              <w:right w:type="dxa" w:w="130"/>
            </w:tcMar>
          </w:tcPr>
          <w:p>
            <w:r>
              <w:rPr>
                <w:rFonts w:ascii="Arial" w:cs="Arial" w:eastAsia="Arial" w:hAnsi="Arial"/>
                <w:b/>
                <w:bCs/>
                <w:color w:val="1A4A5E"/>
                <w:sz w:val="20"/>
                <w:szCs w:val="20"/>
              </w:rPr>
              <w:t xml:space="preserve">CEO / Board</w:t>
            </w:r>
          </w:p>
        </w:tc>
        <w:tc>
          <w:tcPr>
            <w:tcW w:type="dxa" w:w="3480"/>
            <w:tcBorders>
              <w:top w:val="single" w:color="BDD7EE" w:sz="1"/>
              <w:left w:val="single" w:color="BDD7EE" w:sz="1"/>
              <w:bottom w:val="single" w:color="BDD7EE" w:sz="1"/>
              <w:right w:val="single" w:color="BDD7EE" w:sz="1"/>
            </w:tcBorders>
            <w:shd w:fill="E6F2F7" w:val="clear"/>
            <w:tcMar>
              <w:top w:type="dxa" w:w="80"/>
              <w:left w:type="dxa" w:w="130"/>
              <w:bottom w:type="dxa" w:w="80"/>
              <w:right w:type="dxa" w:w="130"/>
            </w:tcMar>
          </w:tcPr>
          <w:p>
            <w:r>
              <w:rPr>
                <w:rFonts w:ascii="Arial" w:cs="Arial" w:eastAsia="Arial" w:hAnsi="Arial"/>
                <w:b w:val="false"/>
                <w:bCs w:val="false"/>
                <w:color w:val="2C2C2C"/>
                <w:sz w:val="20"/>
                <w:szCs w:val="20"/>
              </w:rPr>
              <w:t xml:space="preserve">Focus on strategic implications, headline numbers, risks, and recommendations. No technical detail. Short and direct.</w:t>
            </w:r>
          </w:p>
        </w:tc>
        <w:tc>
          <w:tcPr>
            <w:tcW w:type="dxa" w:w="3480"/>
            <w:tcBorders>
              <w:top w:val="single" w:color="BDD7EE" w:sz="1"/>
              <w:left w:val="single" w:color="BDD7EE" w:sz="1"/>
              <w:bottom w:val="single" w:color="BDD7EE" w:sz="1"/>
              <w:right w:val="single" w:color="BDD7EE" w:sz="1"/>
            </w:tcBorders>
            <w:shd w:fill="E6F2F7" w:val="clear"/>
            <w:tcMar>
              <w:top w:type="dxa" w:w="80"/>
              <w:left w:type="dxa" w:w="130"/>
              <w:bottom w:type="dxa" w:w="80"/>
              <w:right w:type="dxa" w:w="130"/>
            </w:tcMar>
          </w:tcPr>
          <w:p>
            <w:r>
              <w:rPr>
                <w:rFonts w:ascii="Arial" w:cs="Arial" w:eastAsia="Arial" w:hAnsi="Arial"/>
                <w:b w:val="false"/>
                <w:bCs w:val="false"/>
                <w:color w:val="2C2C2C"/>
                <w:sz w:val="20"/>
                <w:szCs w:val="20"/>
              </w:rPr>
              <w:t xml:space="preserve">"Summarise this analysis for the CEO. Focus on what the numbers mean for our strategy. Under 200 words."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bCs/>
                <w:color w:val="1A4A5E"/>
                <w:sz w:val="20"/>
                <w:szCs w:val="20"/>
              </w:rPr>
              <w:t xml:space="preserve">Finance team</w:t>
            </w:r>
          </w:p>
        </w:tc>
        <w:tc>
          <w:tcPr>
            <w:tcW w:type="dxa" w:w="34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val="false"/>
                <w:bCs w:val="false"/>
                <w:color w:val="2C2C2C"/>
                <w:sz w:val="20"/>
                <w:szCs w:val="20"/>
              </w:rPr>
              <w:t xml:space="preserve">Include detailed figures, variance analysis, methodology notes, and confidence levels. Tables preferred.</w:t>
            </w:r>
          </w:p>
        </w:tc>
        <w:tc>
          <w:tcPr>
            <w:tcW w:type="dxa" w:w="34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val="false"/>
                <w:bCs w:val="false"/>
                <w:color w:val="2C2C2C"/>
                <w:sz w:val="20"/>
                <w:szCs w:val="20"/>
              </w:rPr>
              <w:t xml:space="preserve">"Produce a detailed financial summary with full figures, variance from budget, and any data quality caveats."</w:t>
            </w:r>
          </w:p>
        </w:tc>
      </w:tr>
      <w:tr>
        <w:tc>
          <w:tcPr>
            <w:tcW w:type="dxa" w:w="2400"/>
            <w:tcBorders>
              <w:top w:val="single" w:color="BDD7EE" w:sz="1"/>
              <w:left w:val="single" w:color="BDD7EE" w:sz="1"/>
              <w:bottom w:val="single" w:color="BDD7EE" w:sz="1"/>
              <w:right w:val="single" w:color="BDD7EE" w:sz="1"/>
            </w:tcBorders>
            <w:shd w:fill="E6F2F7" w:val="clear"/>
            <w:tcMar>
              <w:top w:type="dxa" w:w="80"/>
              <w:left w:type="dxa" w:w="130"/>
              <w:bottom w:type="dxa" w:w="80"/>
              <w:right w:type="dxa" w:w="130"/>
            </w:tcMar>
          </w:tcPr>
          <w:p>
            <w:r>
              <w:rPr>
                <w:rFonts w:ascii="Arial" w:cs="Arial" w:eastAsia="Arial" w:hAnsi="Arial"/>
                <w:b/>
                <w:bCs/>
                <w:color w:val="1A4A5E"/>
                <w:sz w:val="20"/>
                <w:szCs w:val="20"/>
              </w:rPr>
              <w:t xml:space="preserve">Marketing team</w:t>
            </w:r>
          </w:p>
        </w:tc>
        <w:tc>
          <w:tcPr>
            <w:tcW w:type="dxa" w:w="3480"/>
            <w:tcBorders>
              <w:top w:val="single" w:color="BDD7EE" w:sz="1"/>
              <w:left w:val="single" w:color="BDD7EE" w:sz="1"/>
              <w:bottom w:val="single" w:color="BDD7EE" w:sz="1"/>
              <w:right w:val="single" w:color="BDD7EE" w:sz="1"/>
            </w:tcBorders>
            <w:shd w:fill="E6F2F7" w:val="clear"/>
            <w:tcMar>
              <w:top w:type="dxa" w:w="80"/>
              <w:left w:type="dxa" w:w="130"/>
              <w:bottom w:type="dxa" w:w="80"/>
              <w:right w:type="dxa" w:w="130"/>
            </w:tcMar>
          </w:tcPr>
          <w:p>
            <w:r>
              <w:rPr>
                <w:rFonts w:ascii="Arial" w:cs="Arial" w:eastAsia="Arial" w:hAnsi="Arial"/>
                <w:b w:val="false"/>
                <w:bCs w:val="false"/>
                <w:color w:val="2C2C2C"/>
                <w:sz w:val="20"/>
                <w:szCs w:val="20"/>
              </w:rPr>
              <w:t xml:space="preserve">Emphasise trends, customer behaviour, and performance by segment or campaign. Visual charts preferred.</w:t>
            </w:r>
          </w:p>
        </w:tc>
        <w:tc>
          <w:tcPr>
            <w:tcW w:type="dxa" w:w="3480"/>
            <w:tcBorders>
              <w:top w:val="single" w:color="BDD7EE" w:sz="1"/>
              <w:left w:val="single" w:color="BDD7EE" w:sz="1"/>
              <w:bottom w:val="single" w:color="BDD7EE" w:sz="1"/>
              <w:right w:val="single" w:color="BDD7EE" w:sz="1"/>
            </w:tcBorders>
            <w:shd w:fill="E6F2F7" w:val="clear"/>
            <w:tcMar>
              <w:top w:type="dxa" w:w="80"/>
              <w:left w:type="dxa" w:w="130"/>
              <w:bottom w:type="dxa" w:w="80"/>
              <w:right w:type="dxa" w:w="130"/>
            </w:tcMar>
          </w:tcPr>
          <w:p>
            <w:r>
              <w:rPr>
                <w:rFonts w:ascii="Arial" w:cs="Arial" w:eastAsia="Arial" w:hAnsi="Arial"/>
                <w:b w:val="false"/>
                <w:bCs w:val="false"/>
                <w:color w:val="2C2C2C"/>
                <w:sz w:val="20"/>
                <w:szCs w:val="20"/>
              </w:rPr>
              <w:t xml:space="preserve">"Create a visual summary of customer engagement trends. Focus on segments and campaign performance."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bCs/>
                <w:color w:val="1A4A5E"/>
                <w:sz w:val="20"/>
                <w:szCs w:val="20"/>
              </w:rPr>
              <w:t xml:space="preserve">Operations</w:t>
            </w:r>
          </w:p>
        </w:tc>
        <w:tc>
          <w:tcPr>
            <w:tcW w:type="dxa" w:w="34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val="false"/>
                <w:bCs w:val="false"/>
                <w:color w:val="2C2C2C"/>
                <w:sz w:val="20"/>
                <w:szCs w:val="20"/>
              </w:rPr>
              <w:t xml:space="preserve">Highlight efficiency metrics, process bottlenecks, volume data, and actionable improvements.</w:t>
            </w:r>
          </w:p>
        </w:tc>
        <w:tc>
          <w:tcPr>
            <w:tcW w:type="dxa" w:w="34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val="false"/>
                <w:bCs w:val="false"/>
                <w:color w:val="2C2C2C"/>
                <w:sz w:val="20"/>
                <w:szCs w:val="20"/>
              </w:rPr>
              <w:t xml:space="preserve">"Identify the three biggest operational inefficiencies in this data and suggest improvements."</w:t>
            </w:r>
          </w:p>
        </w:tc>
      </w:tr>
      <w:tr>
        <w:tc>
          <w:tcPr>
            <w:tcW w:type="dxa" w:w="2400"/>
            <w:tcBorders>
              <w:top w:val="single" w:color="BDD7EE" w:sz="1"/>
              <w:left w:val="single" w:color="BDD7EE" w:sz="1"/>
              <w:bottom w:val="single" w:color="BDD7EE" w:sz="1"/>
              <w:right w:val="single" w:color="BDD7EE" w:sz="1"/>
            </w:tcBorders>
            <w:shd w:fill="E6F2F7" w:val="clear"/>
            <w:tcMar>
              <w:top w:type="dxa" w:w="80"/>
              <w:left w:type="dxa" w:w="130"/>
              <w:bottom w:type="dxa" w:w="80"/>
              <w:right w:type="dxa" w:w="130"/>
            </w:tcMar>
          </w:tcPr>
          <w:p>
            <w:r>
              <w:rPr>
                <w:rFonts w:ascii="Arial" w:cs="Arial" w:eastAsia="Arial" w:hAnsi="Arial"/>
                <w:b/>
                <w:bCs/>
                <w:color w:val="1A4A5E"/>
                <w:sz w:val="20"/>
                <w:szCs w:val="20"/>
              </w:rPr>
              <w:t xml:space="preserve">Investors</w:t>
            </w:r>
          </w:p>
        </w:tc>
        <w:tc>
          <w:tcPr>
            <w:tcW w:type="dxa" w:w="3480"/>
            <w:tcBorders>
              <w:top w:val="single" w:color="BDD7EE" w:sz="1"/>
              <w:left w:val="single" w:color="BDD7EE" w:sz="1"/>
              <w:bottom w:val="single" w:color="BDD7EE" w:sz="1"/>
              <w:right w:val="single" w:color="BDD7EE" w:sz="1"/>
            </w:tcBorders>
            <w:shd w:fill="E6F2F7" w:val="clear"/>
            <w:tcMar>
              <w:top w:type="dxa" w:w="80"/>
              <w:left w:type="dxa" w:w="130"/>
              <w:bottom w:type="dxa" w:w="80"/>
              <w:right w:type="dxa" w:w="130"/>
            </w:tcMar>
          </w:tcPr>
          <w:p>
            <w:r>
              <w:rPr>
                <w:rFonts w:ascii="Arial" w:cs="Arial" w:eastAsia="Arial" w:hAnsi="Arial"/>
                <w:b w:val="false"/>
                <w:bCs w:val="false"/>
                <w:color w:val="2C2C2C"/>
                <w:sz w:val="20"/>
                <w:szCs w:val="20"/>
              </w:rPr>
              <w:t xml:space="preserve">Revenue growth, margin trends, customer metrics, and forward-looking indicators. Formal tone.</w:t>
            </w:r>
          </w:p>
        </w:tc>
        <w:tc>
          <w:tcPr>
            <w:tcW w:type="dxa" w:w="3480"/>
            <w:tcBorders>
              <w:top w:val="single" w:color="BDD7EE" w:sz="1"/>
              <w:left w:val="single" w:color="BDD7EE" w:sz="1"/>
              <w:bottom w:val="single" w:color="BDD7EE" w:sz="1"/>
              <w:right w:val="single" w:color="BDD7EE" w:sz="1"/>
            </w:tcBorders>
            <w:shd w:fill="E6F2F7" w:val="clear"/>
            <w:tcMar>
              <w:top w:type="dxa" w:w="80"/>
              <w:left w:type="dxa" w:w="130"/>
              <w:bottom w:type="dxa" w:w="80"/>
              <w:right w:type="dxa" w:w="130"/>
            </w:tcMar>
          </w:tcPr>
          <w:p>
            <w:r>
              <w:rPr>
                <w:rFonts w:ascii="Arial" w:cs="Arial" w:eastAsia="Arial" w:hAnsi="Arial"/>
                <w:b w:val="false"/>
                <w:bCs w:val="false"/>
                <w:color w:val="2C2C2C"/>
                <w:sz w:val="20"/>
                <w:szCs w:val="20"/>
              </w:rPr>
              <w:t xml:space="preserve">"Generate an investor-facing summary of our Q3 performance. Professional tone, focus on growth metrics."</w:t>
            </w:r>
          </w:p>
        </w:tc>
      </w:tr>
    </w:tbl>
    <w:p>
      <w:pPr>
        <w:spacing w:before="100" w:after="0"/>
      </w:pPr>
      <w:r>
        <w:t xml:space="preserve"/>
      </w:r>
    </w:p>
    <w:p>
      <w:pPr>
        <w:pStyle w:val="Heading2"/>
        <w:spacing w:before="240" w:after="80"/>
      </w:pPr>
      <w:r>
        <w:rPr>
          <w:rFonts w:ascii="Arial" w:cs="Arial" w:eastAsia="Arial" w:hAnsi="Arial"/>
          <w:b/>
          <w:bCs/>
          <w:color w:val="2980B9"/>
          <w:sz w:val="24"/>
          <w:szCs w:val="24"/>
        </w:rPr>
        <w:t xml:space="preserve">Self-Critique and Confidence Checks</w:t>
      </w:r>
    </w:p>
    <w:p>
      <w:pPr>
        <w:spacing w:before="40" w:after="40"/>
      </w:pPr>
      <w:r>
        <w:rPr>
          <w:rFonts w:ascii="Arial" w:cs="Arial" w:eastAsia="Arial" w:hAnsi="Arial"/>
          <w:color w:val="2C2C2C"/>
          <w:sz w:val="22"/>
          <w:szCs w:val="22"/>
        </w:rPr>
        <w:t xml:space="preserve">The Analyst Agent, like all AI tools, can make mistakes — especially with complex calculations or ambiguous data. Build verification into every analysis workflow.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980B9" w:sz="12"/>
              <w:bottom w:val="single" w:color="BDD7EE" w:sz="1"/>
              <w:right w:val="none" w:color="FFFFFF" w:sz="0"/>
            </w:tcBorders>
            <w:shd w:fill="F0F7FA" w:val="clear"/>
            <w:tcMar>
              <w:top w:type="dxa" w:w="100"/>
              <w:left w:type="dxa" w:w="220"/>
              <w:bottom w:type="dxa" w:w="100"/>
              <w:right w:type="dxa" w:w="200"/>
            </w:tcMar>
          </w:tcPr>
          <w:p>
            <w:pPr>
              <w:spacing w:before="40" w:after="80"/>
            </w:pPr>
            <w:r>
              <w:rPr>
                <w:rFonts w:ascii="Arial" w:cs="Arial" w:eastAsia="Arial" w:hAnsi="Arial"/>
                <w:b/>
                <w:bCs/>
                <w:i/>
                <w:iCs/>
                <w:color w:val="595959"/>
                <w:sz w:val="20"/>
                <w:szCs w:val="20"/>
              </w:rPr>
              <w:t xml:space="preserve">Self-critique and verification prompts</w:t>
            </w:r>
          </w:p>
          <w:p>
            <w:pPr>
              <w:spacing w:before="18" w:after="18"/>
            </w:pPr>
            <w:r>
              <w:rPr>
                <w:rFonts w:ascii="Courier New" w:cs="Courier New" w:eastAsia="Courier New" w:hAnsi="Courier New"/>
                <w:color w:val="1A1A1A"/>
                <w:sz w:val="21"/>
                <w:szCs w:val="21"/>
              </w:rPr>
              <w:t xml:space="preserve">"Are you confident in this analysis? What assumptions did you make that I should verify?"</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"Identify any weaknesses or gaps in the data that might affect the accuracy of your findings."</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"Rate your confidence in each finding on a scale of 1–10 and explain your reasoning."</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"What would change about your conclusions if [specific variable] turned out to be different?"</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"Are there any patterns in this data that might be misleading or that need additional context to interpret correctly?"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9F5EE" w:val="clear"/>
            <w:tcMar>
              <w:top w:type="dxa" w:w="120"/>
              <w:left w:type="dxa" w:w="200"/>
              <w:bottom w:type="dxa" w:w="120"/>
              <w:right w:type="dxa" w:w="200"/>
            </w:tcMar>
          </w:tcPr>
          <w:p>
            <w:pPr>
              <w:spacing w:before="60" w:after="80"/>
            </w:pPr>
            <w:r>
              <w:rPr>
                <w:rFonts w:ascii="Arial" w:cs="Arial" w:eastAsia="Arial" w:hAnsi="Arial"/>
                <w:b/>
                <w:bCs/>
                <w:color w:val="1E6B3C"/>
                <w:sz w:val="22"/>
                <w:szCs w:val="22"/>
              </w:rPr>
              <w:t xml:space="preserve">The Spot-Check Habit</w:t>
            </w:r>
          </w:p>
          <w:p>
            <w:pPr>
              <w:spacing w:before="28" w:after="28"/>
            </w:pPr>
            <w:r>
              <w:rPr>
                <w:rFonts w:ascii="Arial" w:cs="Arial" w:eastAsia="Arial" w:hAnsi="Arial"/>
                <w:color w:val="1E6B3C"/>
                <w:sz w:val="21"/>
                <w:szCs w:val="21"/>
              </w:rPr>
              <w:t xml:space="preserve">▸  </w:t>
            </w:r>
            <w:r>
              <w:rPr>
                <w:rFonts w:ascii="Arial" w:cs="Arial" w:eastAsia="Arial" w:hAnsi="Arial"/>
                <w:color w:val="2C2C2C"/>
                <w:sz w:val="21"/>
                <w:szCs w:val="21"/>
              </w:rPr>
              <w:t xml:space="preserve">Always manually verify at least 2–3 key figures the Agent produces against the raw data.</w:t>
            </w:r>
          </w:p>
          <w:p>
            <w:pPr>
              <w:spacing w:before="28" w:after="28"/>
            </w:pPr>
            <w:r>
              <w:rPr>
                <w:rFonts w:ascii="Arial" w:cs="Arial" w:eastAsia="Arial" w:hAnsi="Arial"/>
                <w:color w:val="1E6B3C"/>
                <w:sz w:val="21"/>
                <w:szCs w:val="21"/>
              </w:rPr>
              <w:t xml:space="preserve">▸  </w:t>
            </w:r>
            <w:r>
              <w:rPr>
                <w:rFonts w:ascii="Arial" w:cs="Arial" w:eastAsia="Arial" w:hAnsi="Arial"/>
                <w:color w:val="2C2C2C"/>
                <w:sz w:val="21"/>
                <w:szCs w:val="21"/>
              </w:rPr>
              <w:t xml:space="preserve">If the Agent's number doesn't match what you can see in the spreadsheet, ask it to show its working: 'Show me exactly how you calculated that figure.'</w:t>
            </w:r>
          </w:p>
          <w:p>
            <w:pPr>
              <w:spacing w:before="28" w:after="28"/>
            </w:pPr>
            <w:r>
              <w:rPr>
                <w:rFonts w:ascii="Arial" w:cs="Arial" w:eastAsia="Arial" w:hAnsi="Arial"/>
                <w:color w:val="1E6B3C"/>
                <w:sz w:val="21"/>
                <w:szCs w:val="21"/>
              </w:rPr>
              <w:t xml:space="preserve">▸  </w:t>
            </w:r>
            <w:r>
              <w:rPr>
                <w:rFonts w:ascii="Arial" w:cs="Arial" w:eastAsia="Arial" w:hAnsi="Arial"/>
                <w:color w:val="2C2C2C"/>
                <w:sz w:val="21"/>
                <w:szCs w:val="21"/>
              </w:rPr>
              <w:t xml:space="preserve">The Agent shows its Python code — you do not need to understand the code, but you can use it as evidence that a calculation was performed (rather than estimated).</w:t>
            </w:r>
          </w:p>
        </w:tc>
      </w:tr>
    </w:tbl>
    <w:p>
      <w:pPr>
        <w:spacing w:before="100" w:after="0"/>
      </w:pPr>
      <w:r>
        <w:t xml:space="preserve"/>
      </w:r>
    </w:p>
    <w:p>
      <w:pPr>
        <w:pStyle w:val="Heading2"/>
        <w:spacing w:before="240" w:after="80"/>
      </w:pPr>
      <w:r>
        <w:rPr>
          <w:rFonts w:ascii="Arial" w:cs="Arial" w:eastAsia="Arial" w:hAnsi="Arial"/>
          <w:b/>
          <w:bCs/>
          <w:color w:val="2980B9"/>
          <w:sz w:val="24"/>
          <w:szCs w:val="24"/>
        </w:rPr>
        <w:t xml:space="preserve">When You Do Not Know What to Ask</w:t>
      </w:r>
    </w:p>
    <w:p>
      <w:pPr>
        <w:spacing w:before="40" w:after="40"/>
      </w:pPr>
      <w:r>
        <w:rPr>
          <w:rFonts w:ascii="Arial" w:cs="Arial" w:eastAsia="Arial" w:hAnsi="Arial"/>
          <w:color w:val="2C2C2C"/>
          <w:sz w:val="22"/>
          <w:szCs w:val="22"/>
        </w:rPr>
        <w:t xml:space="preserve">A common participant concern: 'I don't know what questions to ask my data.' Use this two-step approach.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980B9" w:sz="12"/>
              <w:bottom w:val="single" w:color="BDD7EE" w:sz="1"/>
              <w:right w:val="none" w:color="FFFFFF" w:sz="0"/>
            </w:tcBorders>
            <w:shd w:fill="F0F7FA" w:val="clear"/>
            <w:tcMar>
              <w:top w:type="dxa" w:w="100"/>
              <w:left w:type="dxa" w:w="220"/>
              <w:bottom w:type="dxa" w:w="100"/>
              <w:right w:type="dxa" w:w="200"/>
            </w:tcMar>
          </w:tcPr>
          <w:p>
            <w:pPr>
              <w:spacing w:before="40" w:after="80"/>
            </w:pPr>
            <w:r>
              <w:rPr>
                <w:rFonts w:ascii="Arial" w:cs="Arial" w:eastAsia="Arial" w:hAnsi="Arial"/>
                <w:b/>
                <w:bCs/>
                <w:i/>
                <w:iCs/>
                <w:color w:val="595959"/>
                <w:sz w:val="20"/>
                <w:szCs w:val="20"/>
              </w:rPr>
              <w:t xml:space="preserve">Generating question ideas</w:t>
            </w:r>
          </w:p>
          <w:p>
            <w:pPr>
              <w:spacing w:before="18" w:after="18"/>
            </w:pPr>
            <w:r>
              <w:rPr>
                <w:rFonts w:ascii="Courier New" w:cs="Courier New" w:eastAsia="Courier New" w:hAnsi="Courier New"/>
                <w:color w:val="1A1A1A"/>
                <w:sz w:val="21"/>
                <w:szCs w:val="21"/>
              </w:rPr>
              <w:t xml:space="preserve">Step 1 — Ask Copilot Chat (not the Analyst Agent):</w:t>
            </w:r>
          </w:p>
          <w:p>
            <w:pPr>
              <w:spacing w:before="18" w:after="18"/>
            </w:pPr>
            <w:r>
              <w:rPr>
                <w:rFonts w:ascii="Courier New" w:cs="Courier New" w:eastAsia="Courier New" w:hAnsi="Courier New"/>
                <w:color w:val="1A1A1A"/>
                <w:sz w:val="21"/>
                <w:szCs w:val="21"/>
              </w:rPr>
              <w:t xml:space="preserve">"I have a dataset containing [describe columns and data type].</w:t>
            </w:r>
          </w:p>
          <w:p>
            <w:pPr>
              <w:spacing w:before="18" w:after="18"/>
            </w:pPr>
            <w:r>
              <w:rPr>
                <w:rFonts w:ascii="Courier New" w:cs="Courier New" w:eastAsia="Courier New" w:hAnsi="Courier New"/>
                <w:color w:val="1A1A1A"/>
                <w:sz w:val="21"/>
                <w:szCs w:val="21"/>
              </w:rPr>
              <w:t xml:space="preserve"> What are the 10 most useful questions I could ask to extract insights,</w:t>
            </w:r>
          </w:p>
          <w:p>
            <w:pPr>
              <w:spacing w:before="18" w:after="18"/>
            </w:pPr>
            <w:r>
              <w:rPr>
                <w:rFonts w:ascii="Courier New" w:cs="Courier New" w:eastAsia="Courier New" w:hAnsi="Courier New"/>
                <w:color w:val="1A1A1A"/>
                <w:sz w:val="21"/>
                <w:szCs w:val="21"/>
              </w:rPr>
              <w:t xml:space="preserve"> spot trends, and identify risks?"</w:t>
            </w:r>
          </w:p>
          <w:p>
            <w:pPr>
              <w:spacing w:before="18" w:after="18"/>
            </w:pPr>
            <w:r>
              <w:rPr>
                <w:rFonts w:ascii="Courier New" w:cs="Courier New" w:eastAsia="Courier New" w:hAnsi="Courier New"/>
                <w:color w:val="1A1A1A"/>
                <w:sz w:val="21"/>
                <w:szCs w:val="21"/>
              </w:rPr>
              <w:t xml:space="preserve"/>
            </w:r>
          </w:p>
          <w:p>
            <w:pPr>
              <w:spacing w:before="18" w:after="18"/>
            </w:pPr>
            <w:r>
              <w:rPr>
                <w:rFonts w:ascii="Courier New" w:cs="Courier New" w:eastAsia="Courier New" w:hAnsi="Courier New"/>
                <w:color w:val="1A1A1A"/>
                <w:sz w:val="21"/>
                <w:szCs w:val="21"/>
              </w:rPr>
              <w:t xml:space="preserve">Step 2 — Take those questions into the Analyst Agent and run the analysis.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Using Chat to Plan Agent Sessions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Regular Copilot Chat is excellent at generating analysis frameworks and question lists.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Use Chat to plan what you want to ask — then take those questions to the Analyst Agent for execution.</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This two-step approach produces better-structured analyses and saves time in the Agent session.</w:t>
            </w:r>
          </w:p>
        </w:tc>
      </w:tr>
    </w:tbl>
    <w:p>
      <w:pPr>
        <w:spacing w:before="100" w:after="0"/>
      </w:pPr>
      <w:r>
        <w:t xml:space="preserve"/>
      </w:r>
    </w:p>
    <w:p>
      <w:pPr>
        <w:pStyle w:val="Heading2"/>
        <w:spacing w:before="240" w:after="80"/>
      </w:pPr>
      <w:r>
        <w:rPr>
          <w:rFonts w:ascii="Arial" w:cs="Arial" w:eastAsia="Arial" w:hAnsi="Arial"/>
          <w:b/>
          <w:bCs/>
          <w:color w:val="2980B9"/>
          <w:sz w:val="24"/>
          <w:szCs w:val="24"/>
        </w:rPr>
        <w:t xml:space="preserve">Organising Agent Sessions</w:t>
      </w:r>
    </w:p>
    <w:p>
      <w:pPr>
        <w:pStyle w:val="ListParagraph"/>
        <w:numPr>
          <w:ilvl w:val="0"/>
          <w:numId w:val="2"/>
        </w:numPr>
        <w:spacing w:before="30" w:after="30"/>
      </w:pPr>
      <w:r>
        <w:rPr>
          <w:rFonts w:ascii="Arial" w:cs="Arial" w:eastAsia="Arial" w:hAnsi="Arial"/>
          <w:color w:val="2C2C2C"/>
          <w:sz w:val="22"/>
          <w:szCs w:val="22"/>
        </w:rPr>
        <w:t xml:space="preserve">Analyst Agent chats can be linked to a Copilot Notebook — useful for storing findings alongside related documents.</w:t>
      </w:r>
    </w:p>
    <w:p>
      <w:pPr>
        <w:pStyle w:val="ListParagraph"/>
        <w:numPr>
          <w:ilvl w:val="0"/>
          <w:numId w:val="2"/>
        </w:numPr>
        <w:spacing w:before="30" w:after="30"/>
      </w:pPr>
      <w:r>
        <w:rPr>
          <w:rFonts w:ascii="Arial" w:cs="Arial" w:eastAsia="Arial" w:hAnsi="Arial"/>
          <w:color w:val="2C2C2C"/>
          <w:sz w:val="22"/>
          <w:szCs w:val="22"/>
        </w:rPr>
        <w:t xml:space="preserve">Saving prompts to the gallery is not yet supported for the Analyst Agent — copy useful prompts to a Notebook page or document as a workaround.</w:t>
      </w:r>
    </w:p>
    <w:p>
      <w:pPr>
        <w:pStyle w:val="ListParagraph"/>
        <w:numPr>
          <w:ilvl w:val="0"/>
          <w:numId w:val="2"/>
        </w:numPr>
        <w:spacing w:before="30" w:after="30"/>
      </w:pPr>
      <w:r>
        <w:rPr>
          <w:rFonts w:ascii="Arial" w:cs="Arial" w:eastAsia="Arial" w:hAnsi="Arial"/>
          <w:color w:val="2C2C2C"/>
          <w:sz w:val="22"/>
          <w:szCs w:val="22"/>
        </w:rPr>
        <w:t xml:space="preserve">Running multiple agent operations simultaneously can slow performance — if presenting live, use a separate browser for each agent session.</w:t>
      </w:r>
    </w:p>
    <w:p>
      <w:pPr>
        <w:pStyle w:val="ListParagraph"/>
        <w:numPr>
          <w:ilvl w:val="0"/>
          <w:numId w:val="2"/>
        </w:numPr>
        <w:spacing w:before="30" w:after="30"/>
      </w:pPr>
      <w:r>
        <w:rPr>
          <w:rFonts w:ascii="Arial" w:cs="Arial" w:eastAsia="Arial" w:hAnsi="Arial"/>
          <w:color w:val="2C2C2C"/>
          <w:sz w:val="22"/>
          <w:szCs w:val="22"/>
        </w:rPr>
        <w:t xml:space="preserve">Name your Agent sessions clearly — this makes it easier to return to a previous analysis.</w:t>
      </w:r>
    </w:p>
    <w:p>
      <w:pPr>
        <w:spacing w:before="160" w:after="0"/>
      </w:pPr>
      <w:r>
        <w:t xml:space="preserve"/>
      </w:r>
    </w:p>
    <w:p>
      <w:pPr>
        <w:pStyle w:val="Heading1"/>
        <w:pBdr>
          <w:bottom w:val="single" w:color="1A4A5E" w:sz="8" w:space="4"/>
        </w:pBdr>
        <w:spacing w:before="360" w:after="120"/>
      </w:pPr>
      <w:r>
        <w:rPr>
          <w:rFonts w:ascii="Arial" w:cs="Arial" w:eastAsia="Arial" w:hAnsi="Arial"/>
          <w:b/>
          <w:bCs/>
          <w:color w:val="1A4A5E"/>
          <w:sz w:val="28"/>
          <w:szCs w:val="28"/>
        </w:rPr>
        <w:t xml:space="preserve">Module 6: Business Use Cases</w:t>
      </w:r>
    </w:p>
    <w:p>
      <w:pPr>
        <w:spacing w:before="40" w:after="40"/>
      </w:pPr>
      <w:r>
        <w:rPr>
          <w:rFonts w:ascii="Arial" w:cs="Arial" w:eastAsia="Arial" w:hAnsi="Arial"/>
          <w:color w:val="2C2C2C"/>
          <w:sz w:val="22"/>
          <w:szCs w:val="22"/>
        </w:rPr>
        <w:t xml:space="preserve">Use this table to connect the Analyst Agent to participants' own roles. Adapt examples to your audience's sector.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DD7EE" w:sz="1"/>
              <w:left w:val="single" w:color="BDD7EE" w:sz="1"/>
              <w:bottom w:val="single" w:color="BDD7EE" w:sz="1"/>
              <w:right w:val="single" w:color="BDD7EE" w:sz="1"/>
            </w:tcBorders>
            <w:shd w:fill="1A4A5E" w:val="clear"/>
            <w:tcMar>
              <w:top w:type="dxa" w:w="80"/>
              <w:left w:type="dxa" w:w="130"/>
              <w:bottom w:type="dxa" w:w="80"/>
              <w:right w:type="dxa" w:w="130"/>
            </w:tcMar>
          </w:tcPr>
          <w:p>
            <w:r>
              <w:rPr>
                <w:rFonts w:ascii="Arial" w:cs="Arial" w:eastAsia="Arial" w:hAnsi="Arial"/>
                <w:b/>
                <w:bCs/>
                <w:color w:val="FFFFFF"/>
                <w:sz w:val="21"/>
                <w:szCs w:val="21"/>
              </w:rPr>
              <w:t xml:space="preserve">Function</w:t>
            </w:r>
          </w:p>
        </w:tc>
        <w:tc>
          <w:tcPr>
            <w:tcW w:type="dxa" w:w="3480"/>
            <w:tcBorders>
              <w:top w:val="single" w:color="BDD7EE" w:sz="1"/>
              <w:left w:val="single" w:color="BDD7EE" w:sz="1"/>
              <w:bottom w:val="single" w:color="BDD7EE" w:sz="1"/>
              <w:right w:val="single" w:color="BDD7EE" w:sz="1"/>
            </w:tcBorders>
            <w:shd w:fill="1A4A5E" w:val="clear"/>
            <w:tcMar>
              <w:top w:type="dxa" w:w="80"/>
              <w:left w:type="dxa" w:w="130"/>
              <w:bottom w:type="dxa" w:w="80"/>
              <w:right w:type="dxa" w:w="130"/>
            </w:tcMar>
          </w:tcPr>
          <w:p>
            <w:r>
              <w:rPr>
                <w:rFonts w:ascii="Arial" w:cs="Arial" w:eastAsia="Arial" w:hAnsi="Arial"/>
                <w:b/>
                <w:bCs/>
                <w:color w:val="FFFFFF"/>
                <w:sz w:val="21"/>
                <w:szCs w:val="21"/>
              </w:rPr>
              <w:t xml:space="preserve">Example data to upload</w:t>
            </w:r>
          </w:p>
        </w:tc>
        <w:tc>
          <w:tcPr>
            <w:tcW w:type="dxa" w:w="3480"/>
            <w:tcBorders>
              <w:top w:val="single" w:color="BDD7EE" w:sz="1"/>
              <w:left w:val="single" w:color="BDD7EE" w:sz="1"/>
              <w:bottom w:val="single" w:color="BDD7EE" w:sz="1"/>
              <w:right w:val="single" w:color="BDD7EE" w:sz="1"/>
            </w:tcBorders>
            <w:shd w:fill="1A4A5E" w:val="clear"/>
            <w:tcMar>
              <w:top w:type="dxa" w:w="80"/>
              <w:left w:type="dxa" w:w="130"/>
              <w:bottom w:type="dxa" w:w="80"/>
              <w:right w:type="dxa" w:w="130"/>
            </w:tcMar>
          </w:tcPr>
          <w:p>
            <w:r>
              <w:rPr>
                <w:rFonts w:ascii="Arial" w:cs="Arial" w:eastAsia="Arial" w:hAnsi="Arial"/>
                <w:b/>
                <w:bCs/>
                <w:color w:val="FFFFFF"/>
                <w:sz w:val="21"/>
                <w:szCs w:val="21"/>
              </w:rPr>
              <w:t xml:space="preserve">Prompts to try</w:t>
            </w:r>
          </w:p>
        </w:tc>
      </w:tr>
      <w:tr>
        <w:tc>
          <w:tcPr>
            <w:tcW w:type="dxa" w:w="2400"/>
            <w:tcBorders>
              <w:top w:val="single" w:color="BDD7EE" w:sz="1"/>
              <w:left w:val="single" w:color="BDD7EE" w:sz="1"/>
              <w:bottom w:val="single" w:color="BDD7EE" w:sz="1"/>
              <w:right w:val="single" w:color="BDD7EE" w:sz="1"/>
            </w:tcBorders>
            <w:shd w:fill="E6F2F7" w:val="clear"/>
            <w:tcMar>
              <w:top w:type="dxa" w:w="80"/>
              <w:left w:type="dxa" w:w="130"/>
              <w:bottom w:type="dxa" w:w="80"/>
              <w:right w:type="dxa" w:w="130"/>
            </w:tcMar>
          </w:tcPr>
          <w:p>
            <w:r>
              <w:rPr>
                <w:rFonts w:ascii="Arial" w:cs="Arial" w:eastAsia="Arial" w:hAnsi="Arial"/>
                <w:b/>
                <w:bCs/>
                <w:color w:val="1A4A5E"/>
                <w:sz w:val="20"/>
                <w:szCs w:val="20"/>
              </w:rPr>
              <w:t xml:space="preserve">Finance</w:t>
            </w:r>
          </w:p>
        </w:tc>
        <w:tc>
          <w:tcPr>
            <w:tcW w:type="dxa" w:w="3480"/>
            <w:tcBorders>
              <w:top w:val="single" w:color="BDD7EE" w:sz="1"/>
              <w:left w:val="single" w:color="BDD7EE" w:sz="1"/>
              <w:bottom w:val="single" w:color="BDD7EE" w:sz="1"/>
              <w:right w:val="single" w:color="BDD7EE" w:sz="1"/>
            </w:tcBorders>
            <w:shd w:fill="E6F2F7" w:val="clear"/>
            <w:tcMar>
              <w:top w:type="dxa" w:w="80"/>
              <w:left w:type="dxa" w:w="130"/>
              <w:bottom w:type="dxa" w:w="80"/>
              <w:right w:type="dxa" w:w="130"/>
            </w:tcMar>
          </w:tcPr>
          <w:p>
            <w:r>
              <w:rPr>
                <w:rFonts w:ascii="Arial" w:cs="Arial" w:eastAsia="Arial" w:hAnsi="Arial"/>
                <w:b w:val="false"/>
                <w:bCs w:val="false"/>
                <w:color w:val="2C2C2C"/>
                <w:sz w:val="20"/>
                <w:szCs w:val="20"/>
              </w:rPr>
              <w:t xml:space="preserve">Budget vs. actual reports, expense anomalies, cash flow trends, forecasting, cost-centre analysis</w:t>
            </w:r>
          </w:p>
        </w:tc>
        <w:tc>
          <w:tcPr>
            <w:tcW w:type="dxa" w:w="3480"/>
            <w:tcBorders>
              <w:top w:val="single" w:color="BDD7EE" w:sz="1"/>
              <w:left w:val="single" w:color="BDD7EE" w:sz="1"/>
              <w:bottom w:val="single" w:color="BDD7EE" w:sz="1"/>
              <w:right w:val="single" w:color="BDD7EE" w:sz="1"/>
            </w:tcBorders>
            <w:shd w:fill="E6F2F7" w:val="clear"/>
            <w:tcMar>
              <w:top w:type="dxa" w:w="80"/>
              <w:left w:type="dxa" w:w="130"/>
              <w:bottom w:type="dxa" w:w="80"/>
              <w:right w:type="dxa" w:w="130"/>
            </w:tcMar>
          </w:tcPr>
          <w:p>
            <w:r>
              <w:rPr>
                <w:rFonts w:ascii="Arial" w:cs="Arial" w:eastAsia="Arial" w:hAnsi="Arial"/>
                <w:b w:val="false"/>
                <w:bCs w:val="false"/>
                <w:color w:val="2C2C2C"/>
                <w:sz w:val="20"/>
                <w:szCs w:val="20"/>
              </w:rPr>
              <w:t xml:space="preserve">Identify where actual spend exceeds budget by more than 10% · Flag any expense entries above the policy threshold · Show the 6-month revenue trend and forecast the next 2 months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bCs/>
                <w:color w:val="1A4A5E"/>
                <w:sz w:val="20"/>
                <w:szCs w:val="20"/>
              </w:rPr>
              <w:t xml:space="preserve">HR</w:t>
            </w:r>
          </w:p>
        </w:tc>
        <w:tc>
          <w:tcPr>
            <w:tcW w:type="dxa" w:w="34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val="false"/>
                <w:bCs w:val="false"/>
                <w:color w:val="2C2C2C"/>
                <w:sz w:val="20"/>
                <w:szCs w:val="20"/>
              </w:rPr>
              <w:t xml:space="preserve">Headcount data, attrition rates, promotion patterns, absence tracking, recruitment pipeline</w:t>
            </w:r>
          </w:p>
        </w:tc>
        <w:tc>
          <w:tcPr>
            <w:tcW w:type="dxa" w:w="34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val="false"/>
                <w:bCs w:val="false"/>
                <w:color w:val="2C2C2C"/>
                <w:sz w:val="20"/>
                <w:szCs w:val="20"/>
              </w:rPr>
              <w:t xml:space="preserve">What is our current attrition rate by department? · Which roles have the longest time-to-fill? · Show headcount changes by month over the past year</w:t>
            </w:r>
          </w:p>
        </w:tc>
      </w:tr>
      <w:tr>
        <w:tc>
          <w:tcPr>
            <w:tcW w:type="dxa" w:w="2400"/>
            <w:tcBorders>
              <w:top w:val="single" w:color="BDD7EE" w:sz="1"/>
              <w:left w:val="single" w:color="BDD7EE" w:sz="1"/>
              <w:bottom w:val="single" w:color="BDD7EE" w:sz="1"/>
              <w:right w:val="single" w:color="BDD7EE" w:sz="1"/>
            </w:tcBorders>
            <w:shd w:fill="E6F2F7" w:val="clear"/>
            <w:tcMar>
              <w:top w:type="dxa" w:w="80"/>
              <w:left w:type="dxa" w:w="130"/>
              <w:bottom w:type="dxa" w:w="80"/>
              <w:right w:type="dxa" w:w="130"/>
            </w:tcMar>
          </w:tcPr>
          <w:p>
            <w:r>
              <w:rPr>
                <w:rFonts w:ascii="Arial" w:cs="Arial" w:eastAsia="Arial" w:hAnsi="Arial"/>
                <w:b/>
                <w:bCs/>
                <w:color w:val="1A4A5E"/>
                <w:sz w:val="20"/>
                <w:szCs w:val="20"/>
              </w:rPr>
              <w:t xml:space="preserve">Sales</w:t>
            </w:r>
          </w:p>
        </w:tc>
        <w:tc>
          <w:tcPr>
            <w:tcW w:type="dxa" w:w="3480"/>
            <w:tcBorders>
              <w:top w:val="single" w:color="BDD7EE" w:sz="1"/>
              <w:left w:val="single" w:color="BDD7EE" w:sz="1"/>
              <w:bottom w:val="single" w:color="BDD7EE" w:sz="1"/>
              <w:right w:val="single" w:color="BDD7EE" w:sz="1"/>
            </w:tcBorders>
            <w:shd w:fill="E6F2F7" w:val="clear"/>
            <w:tcMar>
              <w:top w:type="dxa" w:w="80"/>
              <w:left w:type="dxa" w:w="130"/>
              <w:bottom w:type="dxa" w:w="80"/>
              <w:right w:type="dxa" w:w="130"/>
            </w:tcMar>
          </w:tcPr>
          <w:p>
            <w:r>
              <w:rPr>
                <w:rFonts w:ascii="Arial" w:cs="Arial" w:eastAsia="Arial" w:hAnsi="Arial"/>
                <w:b w:val="false"/>
                <w:bCs w:val="false"/>
                <w:color w:val="2C2C2C"/>
                <w:sz w:val="20"/>
                <w:szCs w:val="20"/>
              </w:rPr>
              <w:t xml:space="preserve">Pipeline reports, close rates, deal size, rep performance, lead source analysis, KPI tracking</w:t>
            </w:r>
          </w:p>
        </w:tc>
        <w:tc>
          <w:tcPr>
            <w:tcW w:type="dxa" w:w="3480"/>
            <w:tcBorders>
              <w:top w:val="single" w:color="BDD7EE" w:sz="1"/>
              <w:left w:val="single" w:color="BDD7EE" w:sz="1"/>
              <w:bottom w:val="single" w:color="BDD7EE" w:sz="1"/>
              <w:right w:val="single" w:color="BDD7EE" w:sz="1"/>
            </w:tcBorders>
            <w:shd w:fill="E6F2F7" w:val="clear"/>
            <w:tcMar>
              <w:top w:type="dxa" w:w="80"/>
              <w:left w:type="dxa" w:w="130"/>
              <w:bottom w:type="dxa" w:w="80"/>
              <w:right w:type="dxa" w:w="130"/>
            </w:tcMar>
          </w:tcPr>
          <w:p>
            <w:r>
              <w:rPr>
                <w:rFonts w:ascii="Arial" w:cs="Arial" w:eastAsia="Arial" w:hAnsi="Arial"/>
                <w:b w:val="false"/>
                <w:bCs w:val="false"/>
                <w:color w:val="2C2C2C"/>
                <w:sz w:val="20"/>
                <w:szCs w:val="20"/>
              </w:rPr>
              <w:t xml:space="preserve">Which sales rep has the highest close rate this quarter? · What is the average deal size by product line? · Show pipeline value by stage and flag any stalled deals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bCs/>
                <w:color w:val="1A4A5E"/>
                <w:sz w:val="20"/>
                <w:szCs w:val="20"/>
              </w:rPr>
              <w:t xml:space="preserve">Operations</w:t>
            </w:r>
          </w:p>
        </w:tc>
        <w:tc>
          <w:tcPr>
            <w:tcW w:type="dxa" w:w="34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val="false"/>
                <w:bCs w:val="false"/>
                <w:color w:val="2C2C2C"/>
                <w:sz w:val="20"/>
                <w:szCs w:val="20"/>
              </w:rPr>
              <w:t xml:space="preserve">Process efficiency metrics, delivery times, quality data, capacity utilisation, error rates</w:t>
            </w:r>
          </w:p>
        </w:tc>
        <w:tc>
          <w:tcPr>
            <w:tcW w:type="dxa" w:w="34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val="false"/>
                <w:bCs w:val="false"/>
                <w:color w:val="2C2C2C"/>
                <w:sz w:val="20"/>
                <w:szCs w:val="20"/>
              </w:rPr>
              <w:t xml:space="preserve">Where are the biggest delays in our fulfilment process? · Which locations have the highest error rates? · Show capacity utilisation by site for the last 6 months</w:t>
            </w:r>
          </w:p>
        </w:tc>
      </w:tr>
      <w:tr>
        <w:tc>
          <w:tcPr>
            <w:tcW w:type="dxa" w:w="2400"/>
            <w:tcBorders>
              <w:top w:val="single" w:color="BDD7EE" w:sz="1"/>
              <w:left w:val="single" w:color="BDD7EE" w:sz="1"/>
              <w:bottom w:val="single" w:color="BDD7EE" w:sz="1"/>
              <w:right w:val="single" w:color="BDD7EE" w:sz="1"/>
            </w:tcBorders>
            <w:shd w:fill="E6F2F7" w:val="clear"/>
            <w:tcMar>
              <w:top w:type="dxa" w:w="80"/>
              <w:left w:type="dxa" w:w="130"/>
              <w:bottom w:type="dxa" w:w="80"/>
              <w:right w:type="dxa" w:w="130"/>
            </w:tcMar>
          </w:tcPr>
          <w:p>
            <w:r>
              <w:rPr>
                <w:rFonts w:ascii="Arial" w:cs="Arial" w:eastAsia="Arial" w:hAnsi="Arial"/>
                <w:b/>
                <w:bCs/>
                <w:color w:val="1A4A5E"/>
                <w:sz w:val="20"/>
                <w:szCs w:val="20"/>
              </w:rPr>
              <w:t xml:space="preserve">Marketing</w:t>
            </w:r>
          </w:p>
        </w:tc>
        <w:tc>
          <w:tcPr>
            <w:tcW w:type="dxa" w:w="3480"/>
            <w:tcBorders>
              <w:top w:val="single" w:color="BDD7EE" w:sz="1"/>
              <w:left w:val="single" w:color="BDD7EE" w:sz="1"/>
              <w:bottom w:val="single" w:color="BDD7EE" w:sz="1"/>
              <w:right w:val="single" w:color="BDD7EE" w:sz="1"/>
            </w:tcBorders>
            <w:shd w:fill="E6F2F7" w:val="clear"/>
            <w:tcMar>
              <w:top w:type="dxa" w:w="80"/>
              <w:left w:type="dxa" w:w="130"/>
              <w:bottom w:type="dxa" w:w="80"/>
              <w:right w:type="dxa" w:w="130"/>
            </w:tcMar>
          </w:tcPr>
          <w:p>
            <w:r>
              <w:rPr>
                <w:rFonts w:ascii="Arial" w:cs="Arial" w:eastAsia="Arial" w:hAnsi="Arial"/>
                <w:b w:val="false"/>
                <w:bCs w:val="false"/>
                <w:color w:val="2C2C2C"/>
                <w:sz w:val="20"/>
                <w:szCs w:val="20"/>
              </w:rPr>
              <w:t xml:space="preserve">Campaign performance, customer acquisition costs, engagement metrics, segmentation data</w:t>
            </w:r>
          </w:p>
        </w:tc>
        <w:tc>
          <w:tcPr>
            <w:tcW w:type="dxa" w:w="3480"/>
            <w:tcBorders>
              <w:top w:val="single" w:color="BDD7EE" w:sz="1"/>
              <w:left w:val="single" w:color="BDD7EE" w:sz="1"/>
              <w:bottom w:val="single" w:color="BDD7EE" w:sz="1"/>
              <w:right w:val="single" w:color="BDD7EE" w:sz="1"/>
            </w:tcBorders>
            <w:shd w:fill="E6F2F7" w:val="clear"/>
            <w:tcMar>
              <w:top w:type="dxa" w:w="80"/>
              <w:left w:type="dxa" w:w="130"/>
              <w:bottom w:type="dxa" w:w="80"/>
              <w:right w:type="dxa" w:w="130"/>
            </w:tcMar>
          </w:tcPr>
          <w:p>
            <w:r>
              <w:rPr>
                <w:rFonts w:ascii="Arial" w:cs="Arial" w:eastAsia="Arial" w:hAnsi="Arial"/>
                <w:b w:val="false"/>
                <w:bCs w:val="false"/>
                <w:color w:val="2C2C2C"/>
                <w:sz w:val="20"/>
                <w:szCs w:val="20"/>
              </w:rPr>
              <w:t xml:space="preserve">Which campaign had the best cost-per-acquisition this quarter? · Show engagement rate by audience segment · Compare conversion rates across channels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bCs/>
                <w:color w:val="1A4A5E"/>
                <w:sz w:val="20"/>
                <w:szCs w:val="20"/>
              </w:rPr>
              <w:t xml:space="preserve">Customer Success</w:t>
            </w:r>
          </w:p>
        </w:tc>
        <w:tc>
          <w:tcPr>
            <w:tcW w:type="dxa" w:w="34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val="false"/>
                <w:bCs w:val="false"/>
                <w:color w:val="2C2C2C"/>
                <w:sz w:val="20"/>
                <w:szCs w:val="20"/>
              </w:rPr>
              <w:t xml:space="preserve">NPS scores, support ticket volumes, renewal rates, usage data, health scores</w:t>
            </w:r>
          </w:p>
        </w:tc>
        <w:tc>
          <w:tcPr>
            <w:tcW w:type="dxa" w:w="3480"/>
            <w:tcBorders>
              <w:top w:val="single" w:color="BDD7EE" w:sz="1"/>
              <w:left w:val="single" w:color="BDD7EE" w:sz="1"/>
              <w:bottom w:val="single" w:color="BDD7EE" w:sz="1"/>
              <w:right w:val="single" w:color="BDD7EE" w:sz="1"/>
            </w:tcBorders>
            <w:shd w:fill="FFFFFF" w:val="clear"/>
            <w:tcMar>
              <w:top w:type="dxa" w:w="80"/>
              <w:left w:type="dxa" w:w="130"/>
              <w:bottom w:type="dxa" w:w="80"/>
              <w:right w:type="dxa" w:w="130"/>
            </w:tcMar>
          </w:tcPr>
          <w:p>
            <w:r>
              <w:rPr>
                <w:rFonts w:ascii="Arial" w:cs="Arial" w:eastAsia="Arial" w:hAnsi="Arial"/>
                <w:b w:val="false"/>
                <w:bCs w:val="false"/>
                <w:color w:val="2C2C2C"/>
                <w:sz w:val="20"/>
                <w:szCs w:val="20"/>
              </w:rPr>
              <w:t xml:space="preserve">Which customers have declining health scores this month? · What is our average resolution time by issue type? · Identify accounts at risk of churn based on engagement data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6F2F7" w:val="clear"/>
            <w:tcMar>
              <w:top w:type="dxa" w:w="120"/>
              <w:left w:type="dxa" w:w="200"/>
              <w:bottom w:type="dxa" w:w="120"/>
              <w:right w:type="dxa" w:w="200"/>
            </w:tcMar>
          </w:tcPr>
          <w:p>
            <w:pPr>
              <w:spacing w:before="60" w:after="80"/>
            </w:pPr>
            <w:r>
              <w:rPr>
                <w:rFonts w:ascii="Arial" w:cs="Arial" w:eastAsia="Arial" w:hAnsi="Arial"/>
                <w:b/>
                <w:bCs/>
                <w:color w:val="1A4A5E"/>
                <w:sz w:val="22"/>
                <w:szCs w:val="22"/>
              </w:rPr>
              <w:t xml:space="preserve">Recurring Analysis — The Compounding Value</w:t>
            </w:r>
          </w:p>
          <w:p>
            <w:pPr>
              <w:spacing w:before="28" w:after="28"/>
            </w:pPr>
            <w:r>
              <w:rPr>
                <w:rFonts w:ascii="Arial" w:cs="Arial" w:eastAsia="Arial" w:hAnsi="Arial"/>
                <w:color w:val="2980B9"/>
                <w:sz w:val="21"/>
                <w:szCs w:val="21"/>
              </w:rPr>
              <w:t xml:space="preserve">▸  </w:t>
            </w:r>
            <w:r>
              <w:rPr>
                <w:rFonts w:ascii="Arial" w:cs="Arial" w:eastAsia="Arial" w:hAnsi="Arial"/>
                <w:color w:val="2C2C2C"/>
                <w:sz w:val="21"/>
                <w:szCs w:val="21"/>
              </w:rPr>
              <w:t xml:space="preserve">The Analyst Agent is particularly powerful for monthly or weekly reports you run repeatedly.</w:t>
            </w:r>
          </w:p>
          <w:p>
            <w:pPr>
              <w:spacing w:before="28" w:after="28"/>
            </w:pPr>
            <w:r>
              <w:rPr>
                <w:rFonts w:ascii="Arial" w:cs="Arial" w:eastAsia="Arial" w:hAnsi="Arial"/>
                <w:color w:val="2980B9"/>
                <w:sz w:val="21"/>
                <w:szCs w:val="21"/>
              </w:rPr>
              <w:t xml:space="preserve">▸  </w:t>
            </w:r>
            <w:r>
              <w:rPr>
                <w:rFonts w:ascii="Arial" w:cs="Arial" w:eastAsia="Arial" w:hAnsi="Arial"/>
                <w:color w:val="2C2C2C"/>
                <w:sz w:val="21"/>
                <w:szCs w:val="21"/>
              </w:rPr>
              <w:t xml:space="preserve">Build a prompt sequence once — exploratory, trend analysis, comparison to previous period, report generation.</w:t>
            </w:r>
          </w:p>
          <w:p>
            <w:pPr>
              <w:spacing w:before="28" w:after="28"/>
            </w:pPr>
            <w:r>
              <w:rPr>
                <w:rFonts w:ascii="Arial" w:cs="Arial" w:eastAsia="Arial" w:hAnsi="Arial"/>
                <w:color w:val="2980B9"/>
                <w:sz w:val="21"/>
                <w:szCs w:val="21"/>
              </w:rPr>
              <w:t xml:space="preserve">▸  </w:t>
            </w:r>
            <w:r>
              <w:rPr>
                <w:rFonts w:ascii="Arial" w:cs="Arial" w:eastAsia="Arial" w:hAnsi="Arial"/>
                <w:color w:val="2C2C2C"/>
                <w:sz w:val="21"/>
                <w:szCs w:val="21"/>
              </w:rPr>
              <w:t xml:space="preserve">Each month, upload the new data file and run the same sequence. The Agent handles the analysis; you review and share.</w:t>
            </w:r>
          </w:p>
          <w:p>
            <w:pPr>
              <w:spacing w:before="28" w:after="28"/>
            </w:pPr>
            <w:r>
              <w:rPr>
                <w:rFonts w:ascii="Arial" w:cs="Arial" w:eastAsia="Arial" w:hAnsi="Arial"/>
                <w:color w:val="2980B9"/>
                <w:sz w:val="21"/>
                <w:szCs w:val="21"/>
              </w:rPr>
              <w:t xml:space="preserve">▸  </w:t>
            </w:r>
            <w:r>
              <w:rPr>
                <w:rFonts w:ascii="Arial" w:cs="Arial" w:eastAsia="Arial" w:hAnsi="Arial"/>
                <w:color w:val="2C2C2C"/>
                <w:sz w:val="21"/>
                <w:szCs w:val="21"/>
              </w:rPr>
              <w:t xml:space="preserve">Over time, this creates a consistent reporting rhythm with a fraction of the manual effort.</w:t>
            </w:r>
          </w:p>
        </w:tc>
      </w:tr>
    </w:tbl>
    <w:p>
      <w:pPr>
        <w:spacing w:before="160" w:after="0"/>
      </w:pPr>
      <w:r>
        <w:t xml:space="preserve"/>
      </w:r>
    </w:p>
    <w:p>
      <w:pPr>
        <w:pStyle w:val="Heading1"/>
        <w:pBdr>
          <w:bottom w:val="single" w:color="1A4A5E" w:sz="8" w:space="4"/>
        </w:pBdr>
        <w:spacing w:before="360" w:after="120"/>
      </w:pPr>
      <w:r>
        <w:rPr>
          <w:rFonts w:ascii="Arial" w:cs="Arial" w:eastAsia="Arial" w:hAnsi="Arial"/>
          <w:b/>
          <w:bCs/>
          <w:color w:val="1A4A5E"/>
          <w:sz w:val="28"/>
          <w:szCs w:val="28"/>
        </w:rPr>
        <w:t xml:space="preserve">Module 7: Limitations and Workarounds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1A4A5E" w:val="clear"/>
            <w:tcMar>
              <w:top w:type="dxa" w:w="80"/>
              <w:left w:type="dxa" w:w="140"/>
              <w:bottom w:type="dxa" w:w="80"/>
              <w:right w:type="dxa" w:w="140"/>
            </w:tcMar>
          </w:tcPr>
          <w:p>
            <w:r>
              <w:rPr>
                <w:rFonts w:ascii="Arial" w:cs="Arial" w:eastAsia="Arial" w:hAnsi="Arial"/>
                <w:b/>
                <w:bCs/>
                <w:color w:val="FFFFFF"/>
                <w:sz w:val="21"/>
                <w:szCs w:val="21"/>
              </w:rPr>
              <w:t xml:space="preserve">Limitation</w:t>
            </w:r>
          </w:p>
        </w:tc>
        <w:tc>
          <w:tcPr>
            <w:tcW w:type="dxa" w:w="6360"/>
            <w:tcBorders>
              <w:top w:val="single" w:color="BDD7EE" w:sz="1"/>
              <w:left w:val="single" w:color="BDD7EE" w:sz="1"/>
              <w:bottom w:val="single" w:color="BDD7EE" w:sz="1"/>
              <w:right w:val="single" w:color="BDD7EE" w:sz="1"/>
            </w:tcBorders>
            <w:shd w:fill="1A4A5E" w:val="clear"/>
            <w:tcMar>
              <w:top w:type="dxa" w:w="80"/>
              <w:left w:type="dxa" w:w="140"/>
              <w:bottom w:type="dxa" w:w="80"/>
              <w:right w:type="dxa" w:w="140"/>
            </w:tcMar>
          </w:tcPr>
          <w:p>
            <w:r>
              <w:rPr>
                <w:rFonts w:ascii="Arial" w:cs="Arial" w:eastAsia="Arial" w:hAnsi="Arial"/>
                <w:b/>
                <w:bCs/>
                <w:color w:val="FFFFFF"/>
                <w:sz w:val="21"/>
                <w:szCs w:val="21"/>
              </w:rPr>
              <w:t xml:space="preserve">Detail and workaround</w:t>
            </w:r>
          </w:p>
        </w:tc>
      </w:tr>
      <w:tr>
        <w:tc>
          <w:tcPr>
            <w:tcW w:type="dxa" w:w="300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b/>
                <w:bCs/>
                <w:color w:val="1A4A5E"/>
                <w:sz w:val="21"/>
                <w:szCs w:val="21"/>
              </w:rPr>
              <w:t xml:space="preserve">Licence required</w:t>
            </w:r>
          </w:p>
        </w:tc>
        <w:tc>
          <w:tcPr>
            <w:tcW w:type="dxa" w:w="636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color w:val="2C2C2C"/>
                <w:sz w:val="21"/>
                <w:szCs w:val="21"/>
              </w:rPr>
              <w:t xml:space="preserve">The Analyst Agent requires the full Microsoft 365 Copilot licence. Not available on lower tiers.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A4A5E"/>
                <w:sz w:val="21"/>
                <w:szCs w:val="21"/>
              </w:rPr>
              <w:t xml:space="preserve">Workaround: Think Mode</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In regular Copilot Chat, enable 'Think Mode' (extended thinking). This may automatically use Python for data tasks, providing similar analysis capabilities without the dedicated Agent interface.</w:t>
            </w:r>
          </w:p>
        </w:tc>
      </w:tr>
      <w:tr>
        <w:tc>
          <w:tcPr>
            <w:tcW w:type="dxa" w:w="300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b/>
                <w:bCs/>
                <w:color w:val="1A4A5E"/>
                <w:sz w:val="21"/>
                <w:szCs w:val="21"/>
              </w:rPr>
              <w:t xml:space="preserve">Data volume limits</w:t>
            </w:r>
          </w:p>
        </w:tc>
        <w:tc>
          <w:tcPr>
            <w:tcW w:type="dxa" w:w="636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color w:val="2C2C2C"/>
                <w:sz w:val="21"/>
                <w:szCs w:val="21"/>
              </w:rPr>
              <w:t xml:space="preserve">Very large datasets (100,000+ rows) may slow performance or produce incomplete analysis. Split large files into segments and analyse in batches.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A4A5E"/>
                <w:sz w:val="21"/>
                <w:szCs w:val="21"/>
              </w:rPr>
              <w:t xml:space="preserve">No live data connections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The Agent works with uploaded files only — it cannot connect directly to live databases, dashboards, or APIs.</w:t>
            </w:r>
          </w:p>
        </w:tc>
      </w:tr>
      <w:tr>
        <w:tc>
          <w:tcPr>
            <w:tcW w:type="dxa" w:w="300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b/>
                <w:bCs/>
                <w:color w:val="1A4A5E"/>
                <w:sz w:val="21"/>
                <w:szCs w:val="21"/>
              </w:rPr>
              <w:t xml:space="preserve">Prompt saving</w:t>
            </w:r>
          </w:p>
        </w:tc>
        <w:tc>
          <w:tcPr>
            <w:tcW w:type="dxa" w:w="636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color w:val="2C2C2C"/>
                <w:sz w:val="21"/>
                <w:szCs w:val="21"/>
              </w:rPr>
              <w:t xml:space="preserve">Custom prompts cannot yet be saved directly to a gallery from the Analyst Agent. Workaround: copy prompts to a Notebook page or document.</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A4A5E"/>
                <w:sz w:val="21"/>
                <w:szCs w:val="21"/>
              </w:rPr>
              <w:t xml:space="preserve">Simultaneous sessions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Running multiple agent operations at the same time slows performance. Use separate browser windows for parallel sessions.</w:t>
            </w:r>
          </w:p>
        </w:tc>
      </w:tr>
      <w:tr>
        <w:tc>
          <w:tcPr>
            <w:tcW w:type="dxa" w:w="300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b/>
                <w:bCs/>
                <w:color w:val="1A4A5E"/>
                <w:sz w:val="21"/>
                <w:szCs w:val="21"/>
              </w:rPr>
              <w:t xml:space="preserve">Calculation verification</w:t>
            </w:r>
          </w:p>
        </w:tc>
        <w:tc>
          <w:tcPr>
            <w:tcW w:type="dxa" w:w="636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color w:val="2C2C2C"/>
                <w:sz w:val="21"/>
                <w:szCs w:val="21"/>
              </w:rPr>
              <w:t xml:space="preserve">Always spot-check key figures against raw data. Ask the Agent to show its working if a number looks unexpected.</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A4A5E"/>
                <w:sz w:val="21"/>
                <w:szCs w:val="21"/>
              </w:rPr>
              <w:t xml:space="preserve">Inconsistent cross-file metrics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When comparing datasets with different column names or structures, provide explicit mapping instructions in the prompt.</w:t>
            </w:r>
          </w:p>
        </w:tc>
      </w:tr>
    </w:tbl>
    <w:p>
      <w:pPr>
        <w:spacing w:before="160" w:after="0"/>
      </w:pPr>
      <w:r>
        <w:t xml:space="preserve"/>
      </w:r>
    </w:p>
    <w:p>
      <w:pPr>
        <w:pStyle w:val="Heading1"/>
        <w:pBdr>
          <w:bottom w:val="single" w:color="1A4A5E" w:sz="8" w:space="4"/>
        </w:pBdr>
        <w:spacing w:before="360" w:after="120"/>
      </w:pPr>
      <w:r>
        <w:rPr>
          <w:rFonts w:ascii="Arial" w:cs="Arial" w:eastAsia="Arial" w:hAnsi="Arial"/>
          <w:b/>
          <w:bCs/>
          <w:color w:val="1A4A5E"/>
          <w:sz w:val="28"/>
          <w:szCs w:val="28"/>
        </w:rPr>
        <w:t xml:space="preserve">Module 8: Workshop Practice Activity</w:t>
      </w:r>
    </w:p>
    <w:p>
      <w:pPr>
        <w:pStyle w:val="Heading2"/>
        <w:spacing w:before="240" w:after="80"/>
      </w:pPr>
      <w:r>
        <w:rPr>
          <w:rFonts w:ascii="Arial" w:cs="Arial" w:eastAsia="Arial" w:hAnsi="Arial"/>
          <w:b/>
          <w:bCs/>
          <w:color w:val="2980B9"/>
          <w:sz w:val="24"/>
          <w:szCs w:val="24"/>
        </w:rPr>
        <w:t xml:space="preserve">Activity: Analyse Your Own Dataset</w:t>
      </w:r>
    </w:p>
    <w:p>
      <w:pPr>
        <w:spacing w:before="40" w:after="40"/>
      </w:pPr>
      <w:r>
        <w:rPr>
          <w:rFonts w:ascii="Arial" w:cs="Arial" w:eastAsia="Arial" w:hAnsi="Arial"/>
          <w:color w:val="2C2C2C"/>
          <w:sz w:val="22"/>
          <w:szCs w:val="22"/>
        </w:rPr>
        <w:t xml:space="preserve">Participants should have brought a dataset to this session. If not, provide a sample dataset or direct them to Kaggle.com for a free public dataset.</w:t>
      </w:r>
    </w:p>
    <w:p>
      <w:pPr>
        <w:spacing w:before="60" w:after="0"/>
      </w:pPr>
      <w:r>
        <w:t xml:space="preserve"/>
      </w:r>
    </w:p>
    <w:p>
      <w:pPr>
        <w:pStyle w:val="ListParagraph"/>
        <w:numPr>
          <w:ilvl w:val="0"/>
          <w:numId w:val="3"/>
        </w:numPr>
        <w:spacing w:before="40" w:after="40"/>
      </w:pPr>
      <w:r>
        <w:rPr>
          <w:rFonts w:ascii="Arial" w:cs="Arial" w:eastAsia="Arial" w:hAnsi="Arial"/>
          <w:color w:val="2C2C2C"/>
          <w:sz w:val="22"/>
          <w:szCs w:val="22"/>
        </w:rPr>
        <w:t xml:space="preserve">Prepare your data: format as an Excel Table, check for blank rows and colour coding, rename columns clearly.</w:t>
      </w:r>
    </w:p>
    <w:p>
      <w:pPr>
        <w:pStyle w:val="ListParagraph"/>
        <w:numPr>
          <w:ilvl w:val="0"/>
          <w:numId w:val="3"/>
        </w:numPr>
        <w:spacing w:before="40" w:after="40"/>
      </w:pPr>
      <w:r>
        <w:rPr>
          <w:rFonts w:ascii="Arial" w:cs="Arial" w:eastAsia="Arial" w:hAnsi="Arial"/>
          <w:color w:val="2C2C2C"/>
          <w:sz w:val="22"/>
          <w:szCs w:val="22"/>
        </w:rPr>
        <w:t xml:space="preserve">Upload the file to the Analyst Agent.</w:t>
      </w:r>
    </w:p>
    <w:p>
      <w:pPr>
        <w:pStyle w:val="ListParagraph"/>
        <w:numPr>
          <w:ilvl w:val="0"/>
          <w:numId w:val="3"/>
        </w:numPr>
        <w:spacing w:before="40" w:after="40"/>
      </w:pPr>
      <w:r>
        <w:rPr>
          <w:rFonts w:ascii="Arial" w:cs="Arial" w:eastAsia="Arial" w:hAnsi="Arial"/>
          <w:color w:val="2C2C2C"/>
          <w:sz w:val="22"/>
          <w:szCs w:val="22"/>
        </w:rPr>
        <w:t xml:space="preserve">Run an exploratory prompt first: describe the dataset and flag any quality issues.</w:t>
      </w:r>
    </w:p>
    <w:p>
      <w:pPr>
        <w:pStyle w:val="ListParagraph"/>
        <w:numPr>
          <w:ilvl w:val="0"/>
          <w:numId w:val="3"/>
        </w:numPr>
        <w:spacing w:before="40" w:after="40"/>
      </w:pPr>
      <w:r>
        <w:rPr>
          <w:rFonts w:ascii="Arial" w:cs="Arial" w:eastAsia="Arial" w:hAnsi="Arial"/>
          <w:color w:val="2C2C2C"/>
          <w:sz w:val="22"/>
          <w:szCs w:val="22"/>
        </w:rPr>
        <w:t xml:space="preserve">Ask at least three analytical questions — aim for one trend question, one comparison, and one anomaly check.</w:t>
      </w:r>
    </w:p>
    <w:p>
      <w:pPr>
        <w:pStyle w:val="ListParagraph"/>
        <w:numPr>
          <w:ilvl w:val="0"/>
          <w:numId w:val="3"/>
        </w:numPr>
        <w:spacing w:before="40" w:after="40"/>
      </w:pPr>
      <w:r>
        <w:rPr>
          <w:rFonts w:ascii="Arial" w:cs="Arial" w:eastAsia="Arial" w:hAnsi="Arial"/>
          <w:color w:val="2C2C2C"/>
          <w:sz w:val="22"/>
          <w:szCs w:val="22"/>
        </w:rPr>
        <w:t xml:space="preserve">Request one visualisation (chart or table) from the findings.</w:t>
      </w:r>
    </w:p>
    <w:p>
      <w:pPr>
        <w:pStyle w:val="ListParagraph"/>
        <w:numPr>
          <w:ilvl w:val="0"/>
          <w:numId w:val="3"/>
        </w:numPr>
        <w:spacing w:before="40" w:after="40"/>
      </w:pPr>
      <w:r>
        <w:rPr>
          <w:rFonts w:ascii="Arial" w:cs="Arial" w:eastAsia="Arial" w:hAnsi="Arial"/>
          <w:color w:val="2C2C2C"/>
          <w:sz w:val="22"/>
          <w:szCs w:val="22"/>
        </w:rPr>
        <w:t xml:space="preserve">Apply self-critique: ask the Agent to rate its confidence and flag assumptions.</w:t>
      </w:r>
    </w:p>
    <w:p>
      <w:pPr>
        <w:pStyle w:val="ListParagraph"/>
        <w:numPr>
          <w:ilvl w:val="0"/>
          <w:numId w:val="3"/>
        </w:numPr>
        <w:spacing w:before="40" w:after="40"/>
      </w:pPr>
      <w:r>
        <w:rPr>
          <w:rFonts w:ascii="Arial" w:cs="Arial" w:eastAsia="Arial" w:hAnsi="Arial"/>
          <w:color w:val="2C2C2C"/>
          <w:sz w:val="22"/>
          <w:szCs w:val="22"/>
        </w:rPr>
        <w:t xml:space="preserve">Draft a 3-sentence summary of the key finding for a non-technical audience.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Facilitator Debrief Questions</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"What was the most surprising or useful thing the Agent surfaced in your data?"</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"Did the Agent make any errors or produce anything you had to verify? How did you catch it?"</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"Which of your regular reports could you use the Analyst Agent to automate or accelerate?"</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"How would you adapt the output for different stakeholders — your manager vs. the board vs. your team?"</w:t>
            </w:r>
          </w:p>
        </w:tc>
      </w:tr>
    </w:tbl>
    <w:p>
      <w:pPr>
        <w:spacing w:before="160" w:after="0"/>
      </w:pPr>
      <w:r>
        <w:t xml:space="preserve"/>
      </w:r>
    </w:p>
    <w:p>
      <w:pPr>
        <w:pStyle w:val="Heading1"/>
        <w:pBdr>
          <w:bottom w:val="single" w:color="1A4A5E" w:sz="8" w:space="4"/>
        </w:pBdr>
        <w:spacing w:before="360" w:after="120"/>
      </w:pPr>
      <w:r>
        <w:rPr>
          <w:rFonts w:ascii="Arial" w:cs="Arial" w:eastAsia="Arial" w:hAnsi="Arial"/>
          <w:b/>
          <w:bCs/>
          <w:color w:val="1A4A5E"/>
          <w:sz w:val="28"/>
          <w:szCs w:val="28"/>
        </w:rPr>
        <w:t xml:space="preserve">Quick Reference: Analyst Agent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1A4A5E" w:val="clear"/>
            <w:tcMar>
              <w:top w:type="dxa" w:w="80"/>
              <w:left w:type="dxa" w:w="140"/>
              <w:bottom w:type="dxa" w:w="80"/>
              <w:right w:type="dxa" w:w="140"/>
            </w:tcMar>
          </w:tcPr>
          <w:p>
            <w:r>
              <w:rPr>
                <w:rFonts w:ascii="Arial" w:cs="Arial" w:eastAsia="Arial" w:hAnsi="Arial"/>
                <w:b/>
                <w:bCs/>
                <w:color w:val="FFFFFF"/>
                <w:sz w:val="21"/>
                <w:szCs w:val="21"/>
              </w:rPr>
              <w:t xml:space="preserve">Topic</w:t>
            </w:r>
          </w:p>
        </w:tc>
        <w:tc>
          <w:tcPr>
            <w:tcW w:type="dxa" w:w="6360"/>
            <w:tcBorders>
              <w:top w:val="single" w:color="BDD7EE" w:sz="1"/>
              <w:left w:val="single" w:color="BDD7EE" w:sz="1"/>
              <w:bottom w:val="single" w:color="BDD7EE" w:sz="1"/>
              <w:right w:val="single" w:color="BDD7EE" w:sz="1"/>
            </w:tcBorders>
            <w:shd w:fill="1A4A5E" w:val="clear"/>
            <w:tcMar>
              <w:top w:type="dxa" w:w="80"/>
              <w:left w:type="dxa" w:w="140"/>
              <w:bottom w:type="dxa" w:w="80"/>
              <w:right w:type="dxa" w:w="140"/>
            </w:tcMar>
          </w:tcPr>
          <w:p>
            <w:r>
              <w:rPr>
                <w:rFonts w:ascii="Arial" w:cs="Arial" w:eastAsia="Arial" w:hAnsi="Arial"/>
                <w:b/>
                <w:bCs/>
                <w:color w:val="FFFFFF"/>
                <w:sz w:val="21"/>
                <w:szCs w:val="21"/>
              </w:rPr>
              <w:t xml:space="preserve">Detail</w:t>
            </w:r>
          </w:p>
        </w:tc>
      </w:tr>
      <w:tr>
        <w:tc>
          <w:tcPr>
            <w:tcW w:type="dxa" w:w="300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b/>
                <w:bCs/>
                <w:color w:val="1A4A5E"/>
                <w:sz w:val="21"/>
                <w:szCs w:val="21"/>
              </w:rPr>
              <w:t xml:space="preserve">Access</w:t>
            </w:r>
          </w:p>
        </w:tc>
        <w:tc>
          <w:tcPr>
            <w:tcW w:type="dxa" w:w="636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color w:val="2C2C2C"/>
                <w:sz w:val="21"/>
                <w:szCs w:val="21"/>
              </w:rPr>
              <w:t xml:space="preserve">copilot.microsoft.com → Agents → Analyst. Requires full Microsoft 365 Copilot licence.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A4A5E"/>
                <w:sz w:val="21"/>
                <w:szCs w:val="21"/>
              </w:rPr>
              <w:t xml:space="preserve">Best file formats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Excel (formatted as Table, Ctrl+T), CSV, text-based PDF.</w:t>
            </w:r>
          </w:p>
        </w:tc>
      </w:tr>
      <w:tr>
        <w:tc>
          <w:tcPr>
            <w:tcW w:type="dxa" w:w="300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b/>
                <w:bCs/>
                <w:color w:val="1A4A5E"/>
                <w:sz w:val="21"/>
                <w:szCs w:val="21"/>
              </w:rPr>
              <w:t xml:space="preserve">Avoid</w:t>
            </w:r>
          </w:p>
        </w:tc>
        <w:tc>
          <w:tcPr>
            <w:tcW w:type="dxa" w:w="636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color w:val="2C2C2C"/>
                <w:sz w:val="21"/>
                <w:szCs w:val="21"/>
              </w:rPr>
              <w:t xml:space="preserve">Colour-coded data, merged cells, blank rows, scanned PDFs, PII without governance approval.</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A4A5E"/>
                <w:sz w:val="21"/>
                <w:szCs w:val="21"/>
              </w:rPr>
              <w:t xml:space="preserve">First prompt</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Always start with an exploratory prompt to describe the dataset and flag quality issues.</w:t>
            </w:r>
          </w:p>
        </w:tc>
      </w:tr>
      <w:tr>
        <w:tc>
          <w:tcPr>
            <w:tcW w:type="dxa" w:w="300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b/>
                <w:bCs/>
                <w:color w:val="1A4A5E"/>
                <w:sz w:val="21"/>
                <w:szCs w:val="21"/>
              </w:rPr>
              <w:t xml:space="preserve">Verification</w:t>
            </w:r>
          </w:p>
        </w:tc>
        <w:tc>
          <w:tcPr>
            <w:tcW w:type="dxa" w:w="636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color w:val="2C2C2C"/>
                <w:sz w:val="21"/>
                <w:szCs w:val="21"/>
              </w:rPr>
              <w:t xml:space="preserve">Spot-check 2–3 key figures against raw data. Ask 'show your working' if a number is unexpected.</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A4A5E"/>
                <w:sz w:val="21"/>
                <w:szCs w:val="21"/>
              </w:rPr>
              <w:t xml:space="preserve">Audience tailoring</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Specify the audience in every report prompt — CEO, finance, operations, marketing each need a different output.</w:t>
            </w:r>
          </w:p>
        </w:tc>
      </w:tr>
      <w:tr>
        <w:tc>
          <w:tcPr>
            <w:tcW w:type="dxa" w:w="300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b/>
                <w:bCs/>
                <w:color w:val="1A4A5E"/>
                <w:sz w:val="21"/>
                <w:szCs w:val="21"/>
              </w:rPr>
              <w:t xml:space="preserve">Self-critique</w:t>
            </w:r>
          </w:p>
        </w:tc>
        <w:tc>
          <w:tcPr>
            <w:tcW w:type="dxa" w:w="636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color w:val="2C2C2C"/>
                <w:sz w:val="21"/>
                <w:szCs w:val="21"/>
              </w:rPr>
              <w:t xml:space="preserve">End every analysis session with a confidence check: 'Rate your confidence and flag assumptions.'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A4A5E"/>
                <w:sz w:val="21"/>
                <w:szCs w:val="21"/>
              </w:rPr>
              <w:t xml:space="preserve">Visuals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Charts and tables can be downloaded directly. Right-click to save as image or use the download icon.</w:t>
            </w:r>
          </w:p>
        </w:tc>
      </w:tr>
      <w:tr>
        <w:tc>
          <w:tcPr>
            <w:tcW w:type="dxa" w:w="300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b/>
                <w:bCs/>
                <w:color w:val="1A4A5E"/>
                <w:sz w:val="21"/>
                <w:szCs w:val="21"/>
              </w:rPr>
              <w:t xml:space="preserve">No Agent access</w:t>
            </w:r>
          </w:p>
        </w:tc>
        <w:tc>
          <w:tcPr>
            <w:tcW w:type="dxa" w:w="6360"/>
            <w:tcBorders>
              <w:top w:val="single" w:color="BDD7EE" w:sz="1"/>
              <w:left w:val="single" w:color="BDD7EE" w:sz="1"/>
              <w:bottom w:val="single" w:color="BDD7EE" w:sz="1"/>
              <w:right w:val="single" w:color="BDD7EE" w:sz="1"/>
            </w:tcBorders>
            <w:shd w:fill="E6F2F7" w:val="clear"/>
            <w:tcMar>
              <w:top w:type="dxa" w:w="80"/>
              <w:left w:type="dxa" w:w="140"/>
              <w:bottom w:type="dxa" w:w="80"/>
              <w:right w:type="dxa" w:w="140"/>
            </w:tcMar>
          </w:tcPr>
          <w:p>
            <w:r>
              <w:rPr>
                <w:rFonts w:ascii="Arial" w:cs="Arial" w:eastAsia="Arial" w:hAnsi="Arial"/>
                <w:color w:val="2C2C2C"/>
                <w:sz w:val="21"/>
                <w:szCs w:val="21"/>
              </w:rPr>
              <w:t xml:space="preserve">Try 'Think Mode' in regular Copilot Chat as a workaround — may use Python for similar analysis.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bCs/>
                <w:color w:val="1A4A5E"/>
                <w:sz w:val="21"/>
                <w:szCs w:val="21"/>
              </w:rPr>
              <w:t xml:space="preserve">Recurring reports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1"/>
                <w:szCs w:val="21"/>
              </w:rPr>
              <w:t xml:space="preserve">Build a prompt sequence once. Upload new data each period and reuse the same prompts for consistent reporting.</w:t>
            </w:r>
          </w:p>
        </w:tc>
      </w:tr>
    </w:tbl>
    <w:p>
      <w:pPr>
        <w:spacing w:before="160" w:after="0"/>
      </w:pPr>
      <w:r>
        <w:t xml:space="preserve"/>
      </w:r>
    </w:p>
    <w:p>
      <w:pPr>
        <w:pStyle w:val="Heading1"/>
        <w:pBdr>
          <w:bottom w:val="single" w:color="1A4A5E" w:sz="8" w:space="4"/>
        </w:pBdr>
        <w:spacing w:before="360" w:after="120"/>
      </w:pPr>
      <w:r>
        <w:rPr>
          <w:rFonts w:ascii="Arial" w:cs="Arial" w:eastAsia="Arial" w:hAnsi="Arial"/>
          <w:b/>
          <w:bCs/>
          <w:color w:val="1A4A5E"/>
          <w:sz w:val="28"/>
          <w:szCs w:val="28"/>
        </w:rPr>
        <w:t xml:space="preserve">Next Session Preview</w:t>
      </w:r>
    </w:p>
    <w:p>
      <w:pPr>
        <w:pStyle w:val="Heading2"/>
        <w:spacing w:before="240" w:after="80"/>
      </w:pPr>
      <w:r>
        <w:rPr>
          <w:rFonts w:ascii="Arial" w:cs="Arial" w:eastAsia="Arial" w:hAnsi="Arial"/>
          <w:b/>
          <w:bCs/>
          <w:color w:val="2980B9"/>
          <w:sz w:val="24"/>
          <w:szCs w:val="24"/>
        </w:rPr>
        <w:t xml:space="preserve">Session 9: The Deep Research Agent</w:t>
      </w:r>
    </w:p>
    <w:p>
      <w:pPr>
        <w:pStyle w:val="ListParagraph"/>
        <w:numPr>
          <w:ilvl w:val="0"/>
          <w:numId w:val="2"/>
        </w:numPr>
        <w:spacing w:before="30" w:after="30"/>
      </w:pPr>
      <w:r>
        <w:rPr>
          <w:rFonts w:ascii="Arial" w:cs="Arial" w:eastAsia="Arial" w:hAnsi="Arial"/>
          <w:color w:val="2C2C2C"/>
          <w:sz w:val="22"/>
          <w:szCs w:val="22"/>
        </w:rPr>
        <w:t xml:space="preserve">What the Researcher Agent does and how it differs from the Analyst Agent</w:t>
      </w:r>
    </w:p>
    <w:p>
      <w:pPr>
        <w:pStyle w:val="ListParagraph"/>
        <w:numPr>
          <w:ilvl w:val="0"/>
          <w:numId w:val="2"/>
        </w:numPr>
        <w:spacing w:before="30" w:after="30"/>
      </w:pPr>
      <w:r>
        <w:rPr>
          <w:rFonts w:ascii="Arial" w:cs="Arial" w:eastAsia="Arial" w:hAnsi="Arial"/>
          <w:color w:val="2C2C2C"/>
          <w:sz w:val="22"/>
          <w:szCs w:val="22"/>
        </w:rPr>
        <w:t xml:space="preserve">Conducting deep, multi-source web research inside Copilot</w:t>
      </w:r>
    </w:p>
    <w:p>
      <w:pPr>
        <w:pStyle w:val="ListParagraph"/>
        <w:numPr>
          <w:ilvl w:val="0"/>
          <w:numId w:val="2"/>
        </w:numPr>
        <w:spacing w:before="30" w:after="30"/>
      </w:pPr>
      <w:r>
        <w:rPr>
          <w:rFonts w:ascii="Arial" w:cs="Arial" w:eastAsia="Arial" w:hAnsi="Arial"/>
          <w:color w:val="2C2C2C"/>
          <w:sz w:val="22"/>
          <w:szCs w:val="22"/>
        </w:rPr>
        <w:t xml:space="preserve">Summarising and synthesising research findings</w:t>
      </w:r>
    </w:p>
    <w:p>
      <w:pPr>
        <w:pStyle w:val="ListParagraph"/>
        <w:numPr>
          <w:ilvl w:val="0"/>
          <w:numId w:val="2"/>
        </w:numPr>
        <w:spacing w:before="30" w:after="30"/>
      </w:pPr>
      <w:r>
        <w:rPr>
          <w:rFonts w:ascii="Arial" w:cs="Arial" w:eastAsia="Arial" w:hAnsi="Arial"/>
          <w:color w:val="2C2C2C"/>
          <w:sz w:val="22"/>
          <w:szCs w:val="22"/>
        </w:rPr>
        <w:t xml:space="preserve">Combining the Researcher Agent with Notebooks for persistent knowledge building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200"/>
            </w:tcMar>
          </w:tcPr>
          <w:p>
            <w:pPr>
              <w:spacing w:before="60" w:after="80"/>
            </w:pPr>
            <w:r>
              <w:rPr>
                <w:rFonts w:ascii="Arial" w:cs="Arial" w:eastAsia="Arial" w:hAnsi="Arial"/>
                <w:b/>
                <w:bCs/>
                <w:color w:val="1F4E79"/>
                <w:sz w:val="22"/>
                <w:szCs w:val="22"/>
              </w:rPr>
              <w:t xml:space="preserve">Homework Before Session 9</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1. Run the Analyst Agent on a real dataset from your work — even a small one.</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2. Build a prompt sequence for one recurring report and test it with the current period's data.</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3. Note any limitations or unexpected results — bring them to Session 9 for discussion.</w:t>
            </w:r>
          </w:p>
          <w:p>
            <w:pPr>
              <w:spacing w:before="28" w:after="28"/>
            </w:pPr>
            <w:r>
              <w:rPr>
                <w:rFonts w:ascii="Arial" w:cs="Arial" w:eastAsia="Arial" w:hAnsi="Arial"/>
                <w:color w:val="2E75B6"/>
                <w:sz w:val="21"/>
                <w:szCs w:val="21"/>
              </w:rPr>
              <w:t xml:space="preserve">▸  </w:t>
            </w:r>
            <w:r>
              <w:rPr>
                <w:rFonts w:ascii="Arial" w:cs="Arial" w:eastAsia="Arial" w:hAnsi="Arial"/>
                <w:color w:val="2C2C2C"/>
                <w:sz w:val="21"/>
                <w:szCs w:val="21"/>
              </w:rPr>
              <w:t xml:space="preserve">4. Think of a research topic relevant to your work that you would like to explore in the next session.</w:t>
            </w:r>
          </w:p>
        </w:tc>
      </w:tr>
    </w:tbl>
    <w:p>
      <w:pPr>
        <w:spacing w:before="160" w:after="0"/>
      </w:pPr>
      <w:r>
        <w:t xml:space="preserve"/>
      </w:r>
    </w:p>
    <w:p>
      <w:pPr>
        <w:pStyle w:val="Heading1"/>
        <w:pBdr>
          <w:bottom w:val="single" w:color="1A4A5E" w:sz="8" w:space="4"/>
        </w:pBdr>
        <w:spacing w:before="360" w:after="120"/>
      </w:pPr>
      <w:r>
        <w:rPr>
          <w:rFonts w:ascii="Arial" w:cs="Arial" w:eastAsia="Arial" w:hAnsi="Arial"/>
          <w:b/>
          <w:bCs/>
          <w:color w:val="1A4A5E"/>
          <w:sz w:val="28"/>
          <w:szCs w:val="28"/>
        </w:rPr>
        <w:t xml:space="preserve">Session Notes</w:t>
      </w:r>
    </w:p>
    <w:p>
      <w:pPr>
        <w:spacing w:before="60" w:after="0"/>
      </w:pPr>
      <w:r>
        <w:t xml:space="preserve"/>
      </w:r>
    </w:p>
    <w:p>
      <w:pPr>
        <w:spacing w:before="40" w:after="40"/>
      </w:pPr>
      <w:r>
        <w:rPr>
          <w:rFonts w:ascii="Arial" w:cs="Arial" w:eastAsia="Arial" w:hAnsi="Arial"/>
          <w:i/>
          <w:iCs/>
          <w:color w:val="595959"/>
          <w:sz w:val="22"/>
          <w:szCs w:val="22"/>
        </w:rPr>
        <w:t xml:space="preserve">Use this space to capture participant questions, follow-up actions, and observations.</w:t>
      </w:r>
    </w:p>
    <w:p>
      <w:pPr>
        <w:spacing w:before="80" w:after="0"/>
      </w:pPr>
      <w: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p>
      <w:pPr>
        <w:pBdr>
          <w:bottom w:val="single" w:color="CCCCCC" w:sz="2" w:space="12"/>
        </w:pBdr>
        <w:spacing w:before="0" w:after="0"/>
      </w:pPr>
      <w:r>
        <w:rPr>
          <w:sz w:val="28"/>
          <w:szCs w:val="28"/>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tabs>
        <w:tab w:val="right" w:pos="9026"/>
      </w:tabs>
      <w:spacing w:before="60"/>
    </w:pPr>
    <w:r>
      <w:rPr>
        <w:rFonts w:ascii="Arial" w:cs="Arial" w:eastAsia="Arial" w:hAnsi="Arial"/>
        <w:color w:val="595959"/>
        <w:sz w:val="18"/>
        <w:szCs w:val="18"/>
      </w:rPr>
      <w:t xml:space="preserve">Microsoft 365 Copilot Workshop</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6" w:space="4"/>
      </w:pBdr>
      <w:spacing w:before="0" w:after="80"/>
    </w:pPr>
    <w:r>
      <w:rPr>
        <w:rFonts w:ascii="Arial" w:cs="Arial" w:eastAsia="Arial" w:hAnsi="Arial"/>
        <w:b/>
        <w:bCs/>
        <w:color w:val="1A4A5E"/>
        <w:sz w:val="20"/>
        <w:szCs w:val="20"/>
      </w:rPr>
      <w:t xml:space="preserve">Microsoft 365 Copilot  —  Workshop Notes</w:t>
    </w:r>
    <w:r>
      <w:rPr>
        <w:rFonts w:ascii="Arial" w:cs="Arial" w:eastAsia="Arial" w:hAnsi="Arial"/>
        <w:color w:val="595959"/>
        <w:sz w:val="18"/>
        <w:szCs w:val="18"/>
      </w:rPr>
      <w:t xml:space="preserve">     Session 8: Analysing Data with the Analyst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4A5E"/>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2026-03-13T16:34:57.127Z</dcterms:created>
  <dcterms:modified xsi:type="dcterms:W3CDTF">2026-03-13T16:34:57.128Z</dcterms:modified>
</cp:coreProperties>
</file>

<file path=docProps/custom.xml><?xml version="1.0" encoding="utf-8"?>
<Properties xmlns="http://schemas.openxmlformats.org/officeDocument/2006/custom-properties" xmlns:vt="http://schemas.openxmlformats.org/officeDocument/2006/docPropsVTypes"/>
</file>