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Segoe UI" w:hAnsi="Segoe UI"/>
          <w:b/>
          <w:i w:val="0"/>
          <w:color w:val="0A5C66"/>
          <w:sz w:val="44"/>
        </w:rPr>
        <w:t>E-COMMERCE OPERATIONS &amp; PERFORMANCE MARKETING ANALYTICS</w:t>
      </w:r>
    </w:p>
    <w:p>
      <w:pPr>
        <w:spacing w:before="0" w:after="400" w:line="276" w:lineRule="auto"/>
        <w:jc w:val="left"/>
      </w:pPr>
      <w:r>
        <w:rPr>
          <w:rFonts w:ascii="Segoe UI" w:hAnsi="Segoe UI"/>
          <w:b w:val="0"/>
          <w:i/>
          <w:color w:val="2E4053"/>
          <w:sz w:val="24"/>
        </w:rPr>
        <w:t>An End-to-End Operational Portfolio Case Study: Inventory Forecasting, Performance Marketing Reallocation, Crisis Management, and Sentiment Analysis</w:t>
      </w:r>
    </w:p>
    <w:tbl>
      <w:tblPr>
        <w:tblW w:type="auto" w:w="0"/>
        <w:jc w:val="center"/>
        <w:tblLook w:firstColumn="1" w:firstRow="1" w:lastColumn="0" w:lastRow="0" w:noHBand="0" w:noVBand="1" w:val="04A0"/>
      </w:tblPr>
      <w:tblGrid>
        <w:gridCol w:w="9360"/>
      </w:tblGrid>
      <w:tr>
        <w:tc>
          <w:tcPr>
            <w:tcW w:type="dxa" w:w="9360"/>
            <w:shd w:fill="F2F7F7"/>
            <w:tcMar>
              <w:top w:w="140" w:type="dxa"/>
              <w:bottom w:w="140" w:type="dxa"/>
              <w:left w:w="200" w:type="dxa"/>
              <w:right w:w="200" w:type="dxa"/>
            </w:tcMar>
          </w:tcPr>
          <w:p>
            <w:pPr>
              <w:spacing w:before="0" w:after="40" w:line="276" w:lineRule="auto"/>
              <w:jc w:val="left"/>
            </w:pPr>
            <w:r>
              <w:rPr>
                <w:rFonts w:ascii="Segoe UI" w:hAnsi="Segoe UI"/>
                <w:b/>
                <w:i w:val="0"/>
                <w:color w:val="0A5C66"/>
                <w:sz w:val="19"/>
              </w:rPr>
              <w:t xml:space="preserve">Project Domain: </w:t>
            </w:r>
            <w:r>
              <w:rPr>
                <w:rFonts w:ascii="Segoe UI" w:hAnsi="Segoe UI"/>
                <w:b w:val="0"/>
                <w:i w:val="0"/>
                <w:color w:val="2B2B2B"/>
                <w:sz w:val="19"/>
              </w:rPr>
              <w:t xml:space="preserve">E-Commerce Operations, Performance Marketing (Paid Search/Display), Supply Chain Planning  |  </w:t>
            </w:r>
            <w:r>
              <w:rPr>
                <w:rFonts w:ascii="Segoe UI" w:hAnsi="Segoe UI"/>
                <w:b/>
                <w:i w:val="0"/>
                <w:color w:val="0A5C66"/>
                <w:sz w:val="19"/>
              </w:rPr>
              <w:t xml:space="preserve">Analytical Focus: </w:t>
            </w:r>
            <w:r>
              <w:rPr>
                <w:rFonts w:ascii="Segoe UI" w:hAnsi="Segoe UI"/>
                <w:b w:val="0"/>
                <w:i w:val="0"/>
                <w:color w:val="2B2B2B"/>
                <w:sz w:val="19"/>
              </w:rPr>
              <w:t xml:space="preserve">Data Cleaning, Demand Forecasting (RoS), Budget Optimization (ROAS/ACOS Tracking), Sentiment Analysis  |  </w:t>
            </w:r>
            <w:r>
              <w:rPr>
                <w:rFonts w:ascii="Segoe UI" w:hAnsi="Segoe UI"/>
                <w:b/>
                <w:i w:val="0"/>
                <w:color w:val="0A5C66"/>
                <w:sz w:val="19"/>
              </w:rPr>
              <w:t xml:space="preserve">Technical Stack: </w:t>
            </w:r>
            <w:r>
              <w:rPr>
                <w:rFonts w:ascii="Segoe UI" w:hAnsi="Segoe UI"/>
                <w:b w:val="0"/>
                <w:i w:val="0"/>
                <w:color w:val="2B2B2B"/>
                <w:sz w:val="19"/>
              </w:rPr>
              <w:t>Advanced MS Excel / Spreadsheet Modeling (Data Normalization, Logical Modeling), Incident Resolution Frameworks</w:t>
            </w:r>
          </w:p>
        </w:tc>
      </w:tr>
    </w:tbl>
    <w:p/>
    <w:p>
      <w:pPr>
        <w:keepNext/>
        <w:spacing w:before="320" w:after="120" w:line="276" w:lineRule="auto"/>
        <w:jc w:val="left"/>
      </w:pPr>
      <w:r>
        <w:rPr>
          <w:rFonts w:ascii="Segoe UI" w:hAnsi="Segoe UI"/>
          <w:b/>
          <w:i w:val="0"/>
          <w:color w:val="0A5C66"/>
          <w:sz w:val="32"/>
        </w:rPr>
        <w:t>1. Executive Case Summary</w:t>
      </w:r>
    </w:p>
    <w:p>
      <w:pPr>
        <w:spacing w:before="0" w:after="160" w:line="276" w:lineRule="auto"/>
        <w:jc w:val="left"/>
      </w:pPr>
      <w:r>
        <w:rPr>
          <w:rFonts w:ascii="Segoe UI" w:hAnsi="Segoe UI"/>
        </w:rPr>
        <w:t xml:space="preserve">This multi-faceted portfolio project demonstrates advanced, cross-functional competence in managing a digital-first consumer brand. The case study models an intense operational lifecycle: transforming raw, dirty operations data into structured replenishment plans, navigating severe financial resource constraints by optimizing performance marketing ad spend, and resolving real-time operational crises ranging from catastrophic Amazon listing errors to consumer satisfaction deterioration. </w:t>
      </w:r>
    </w:p>
    <w:p>
      <w:pPr>
        <w:spacing w:before="0" w:after="160" w:line="276" w:lineRule="auto"/>
        <w:jc w:val="left"/>
      </w:pPr>
      <w:r>
        <w:rPr>
          <w:rFonts w:ascii="Segoe UI" w:hAnsi="Segoe UI"/>
        </w:rPr>
        <w:t>By binding together supply chain constraints (stockouts, negative stock, lead times) with marketing execution metrics (ROAS, ACOS, CPC), this framework eliminates typical organizational silos. The resulting models and incident reports represent data-driven decision-making engineered to defend profit margins, maximize inventory health, and sustain marketplace velocity immediately prior to high-stakes peak trading seasons.</w:t>
      </w:r>
    </w:p>
    <w:p>
      <w:pPr>
        <w:keepNext/>
        <w:spacing w:before="360" w:after="120" w:line="276" w:lineRule="auto"/>
        <w:jc w:val="left"/>
      </w:pPr>
      <w:r>
        <w:rPr>
          <w:rFonts w:ascii="Segoe UI" w:hAnsi="Segoe UI"/>
          <w:b/>
          <w:i w:val="0"/>
          <w:color w:val="0A5C66"/>
          <w:sz w:val="32"/>
        </w:rPr>
        <w:t>2. Module 1: Inventory Health &amp; Replenishment Architecture</w:t>
      </w:r>
    </w:p>
    <w:p>
      <w:pPr>
        <w:spacing w:before="0" w:after="120" w:line="276" w:lineRule="auto"/>
        <w:jc w:val="left"/>
      </w:pPr>
      <w:r>
        <w:rPr>
          <w:rFonts w:ascii="Segoe UI" w:hAnsi="Segoe UI"/>
        </w:rPr>
        <w:t>Faced with a disorganized cross-channel inventory export just 15 days before peak season, the data engine was engineered across three developmental stages to guarantee absolute stock readiness:</w:t>
      </w:r>
    </w:p>
    <w:p>
      <w:pPr>
        <w:pStyle w:val="ListBullet"/>
        <w:spacing w:before="0" w:after="80" w:line="276" w:lineRule="auto"/>
        <w:jc w:val="left"/>
      </w:pPr>
      <w:r>
        <w:rPr>
          <w:rFonts w:ascii="Segoe UI" w:hAnsi="Segoe UI"/>
          <w:b/>
          <w:i w:val="0"/>
          <w:color w:val="2E4053"/>
          <w:sz w:val="22"/>
        </w:rPr>
        <w:t xml:space="preserve">Data Cleaning &amp; Anomaly Logging: </w:t>
      </w:r>
      <w:r>
        <w:rPr>
          <w:rFonts w:ascii="Segoe UI" w:hAnsi="Segoe UI"/>
          <w:b w:val="0"/>
          <w:i w:val="0"/>
          <w:color w:val="2B2B2B"/>
          <w:sz w:val="22"/>
        </w:rPr>
        <w:t>Identified and resolved system duplicates (e.g., duplicate rows for Vase MH-VS-25017), localized listing suppressions requiring immediate catalog reinstatement, reconciled case-insensitive SKU mismatches ('MH-BD-11500' vs 'mh-bd-11500'), and addressed negative stock entries via rigorous warehouse auditing logs. Missing stock data fields were populated using running average run-rate proxies to prevent supply chain blackouts.</w:t>
      </w:r>
    </w:p>
    <w:p>
      <w:pPr>
        <w:pStyle w:val="ListBullet"/>
        <w:spacing w:before="0" w:after="80" w:line="276" w:lineRule="auto"/>
        <w:jc w:val="left"/>
      </w:pPr>
      <w:r>
        <w:rPr>
          <w:rFonts w:ascii="Segoe UI" w:hAnsi="Segoe UI"/>
          <w:b/>
          <w:i w:val="0"/>
          <w:color w:val="2E4053"/>
          <w:sz w:val="22"/>
        </w:rPr>
        <w:t xml:space="preserve">Rate of Sale (RoS) Demand Modeling: </w:t>
      </w:r>
      <w:r>
        <w:rPr>
          <w:rFonts w:ascii="Segoe UI" w:hAnsi="Segoe UI"/>
          <w:b w:val="0"/>
          <w:i w:val="0"/>
          <w:color w:val="2B2B2B"/>
          <w:sz w:val="22"/>
        </w:rPr>
        <w:t>Built a customized demand forecast mechanism. Rather than looking purely at raw historical sales, the model factors in a 90-day return rate matrix with a 33% return weight penalty to isolate True Net Velocity. A 40% peak uplift multiplier was dynamically added to establish the Peak-Adjusted Daily Run-Rate.</w:t>
      </w:r>
    </w:p>
    <w:p>
      <w:pPr>
        <w:pStyle w:val="ListBullet"/>
        <w:spacing w:before="0" w:after="80" w:line="276" w:lineRule="auto"/>
        <w:jc w:val="left"/>
      </w:pPr>
      <w:r>
        <w:rPr>
          <w:rFonts w:ascii="Segoe UI" w:hAnsi="Segoe UI"/>
          <w:b/>
          <w:i w:val="0"/>
          <w:color w:val="2E4053"/>
          <w:sz w:val="22"/>
        </w:rPr>
        <w:t xml:space="preserve">Capital Capital Allocation &amp; Constraint Management: </w:t>
      </w:r>
      <w:r>
        <w:rPr>
          <w:rFonts w:ascii="Segoe UI" w:hAnsi="Segoe UI"/>
          <w:b w:val="0"/>
          <w:i w:val="0"/>
          <w:color w:val="2B2B2B"/>
          <w:sz w:val="22"/>
        </w:rPr>
        <w:t>Faced with a rigid $15,000 corporate procurement budget and a single-product cap of $4,000, SKUs were triaged by risk categories ('CRITICAL' stockouts vs 'AT RISK' low-cover items). Low-priority items or items with manufacturing lead times exceeding the 15-day peak window (such as the Bed Frame's 35-day lead time) were selectively backordered to protect FBA unit storage thresholds.</w:t>
      </w:r>
    </w:p>
    <w:p>
      <w:pPr>
        <w:keepNext/>
        <w:spacing w:before="360" w:after="120" w:line="276" w:lineRule="auto"/>
        <w:jc w:val="left"/>
      </w:pPr>
      <w:r>
        <w:rPr>
          <w:rFonts w:ascii="Segoe UI" w:hAnsi="Segoe UI"/>
          <w:b/>
          <w:i w:val="0"/>
          <w:color w:val="0A5C66"/>
          <w:sz w:val="32"/>
        </w:rPr>
        <w:t>3. Module 2: Performance Marketing Architecture &amp; Capital Optimization</w:t>
      </w:r>
    </w:p>
    <w:p>
      <w:pPr>
        <w:spacing w:before="0" w:after="120" w:line="276" w:lineRule="auto"/>
        <w:jc w:val="left"/>
      </w:pPr>
      <w:r>
        <w:rPr>
          <w:rFonts w:ascii="Segoe UI" w:hAnsi="Segoe UI"/>
        </w:rPr>
        <w:t>This track details the execution of paid marketing governance when hitting severe budgetary headwinds—specifically, managing a sudden 40% compression of the monthly ad budget from £12,000 to £6,000. It proves advanced knowledge of conversion economics:</w:t>
      </w:r>
    </w:p>
    <w:p>
      <w:pPr>
        <w:pStyle w:val="ListBullet"/>
        <w:spacing w:before="0" w:after="80" w:line="276" w:lineRule="auto"/>
        <w:jc w:val="left"/>
      </w:pPr>
      <w:r>
        <w:rPr>
          <w:rFonts w:ascii="Segoe UI" w:hAnsi="Segoe UI"/>
          <w:b/>
          <w:i w:val="0"/>
          <w:color w:val="2E4053"/>
          <w:sz w:val="22"/>
        </w:rPr>
        <w:t xml:space="preserve">Performance Auditing: </w:t>
      </w:r>
      <w:r>
        <w:rPr>
          <w:rFonts w:ascii="Segoe UI" w:hAnsi="Segoe UI"/>
          <w:b w:val="0"/>
          <w:i w:val="0"/>
          <w:color w:val="2B2B2B"/>
          <w:sz w:val="22"/>
        </w:rPr>
        <w:t>Calculated full-funnel efficiency metrics across active ad accounts, extracting Click-Through Rates (CTR), Cost-Per-Click (CPC), Conversion Rates (CVR), Return on Ad Spend (ROAS), and Advertising Cost of Sales (ACOS).</w:t>
      </w:r>
    </w:p>
    <w:p>
      <w:pPr>
        <w:pStyle w:val="ListBullet"/>
        <w:spacing w:before="0" w:after="80" w:line="276" w:lineRule="auto"/>
        <w:jc w:val="left"/>
      </w:pPr>
      <w:r>
        <w:rPr>
          <w:rFonts w:ascii="Segoe UI" w:hAnsi="Segoe UI"/>
          <w:b/>
          <w:i w:val="0"/>
          <w:color w:val="2E4053"/>
          <w:sz w:val="22"/>
        </w:rPr>
        <w:t xml:space="preserve">Cross-Functional Budget Reallocation: </w:t>
      </w:r>
      <w:r>
        <w:rPr>
          <w:rFonts w:ascii="Segoe UI" w:hAnsi="Segoe UI"/>
          <w:b w:val="0"/>
          <w:i w:val="0"/>
          <w:color w:val="2B2B2B"/>
          <w:sz w:val="22"/>
        </w:rPr>
        <w:t>Eliminated wasted ad spend by syncing marketing actions with the Module 1 inventory sheet. Low-performing campaigns (e.g., Area Rugs with a sub-1.0x ROAS causing costly overstock storage traps) were paused. Campaigns for out-of-stock or suppressed items (Mirror, Planter) were 'FORCE-PAUSED' to avoid paying for dead-end clicks. Budget was directly concentrated on high-margin, scalable top-performers (Arc Floor Lamp 'MH-LG-3301' with a stellar 4.63x ROAS driven by viral TikTok momentum).</w:t>
      </w:r>
    </w:p>
    <w:p>
      <w:pPr>
        <w:pStyle w:val="ListBullet"/>
        <w:spacing w:before="0" w:after="80" w:line="276" w:lineRule="auto"/>
        <w:jc w:val="left"/>
      </w:pPr>
      <w:r>
        <w:rPr>
          <w:rFonts w:ascii="Segoe UI" w:hAnsi="Segoe UI"/>
          <w:b/>
          <w:i w:val="0"/>
          <w:color w:val="2E4053"/>
          <w:sz w:val="22"/>
        </w:rPr>
        <w:t xml:space="preserve">Executive Communication: </w:t>
      </w:r>
      <w:r>
        <w:rPr>
          <w:rFonts w:ascii="Segoe UI" w:hAnsi="Segoe UI"/>
          <w:b w:val="0"/>
          <w:i w:val="0"/>
          <w:color w:val="2B2B2B"/>
          <w:sz w:val="22"/>
        </w:rPr>
        <w:t>Drafted an enterprise-grade client sign-off briefing (authored by Ashutosh Goel) framing the budget contraction not as a loss, but as a strategic restructuring designed to maximize net account efficiency.</w:t>
      </w:r>
    </w:p>
    <w:p>
      <w:pPr>
        <w:keepNext/>
        <w:spacing w:before="360" w:after="120" w:line="276" w:lineRule="auto"/>
        <w:jc w:val="left"/>
      </w:pPr>
      <w:r>
        <w:rPr>
          <w:rFonts w:ascii="Segoe UI" w:hAnsi="Segoe UI"/>
          <w:b/>
          <w:i w:val="0"/>
          <w:color w:val="0A5C66"/>
          <w:sz w:val="32"/>
        </w:rPr>
        <w:t>4. Module 3: Operational Crisis Control &amp; Sentiment Mining</w:t>
      </w:r>
    </w:p>
    <w:p>
      <w:pPr>
        <w:spacing w:before="0" w:after="120" w:line="276" w:lineRule="auto"/>
        <w:jc w:val="left"/>
      </w:pPr>
      <w:r>
        <w:rPr>
          <w:rFonts w:ascii="Segoe UI" w:hAnsi="Segoe UI"/>
        </w:rPr>
        <w:t>Demonstrates real-world analytical composure and qualitative research techniques through two distinct operational stress-tests:</w:t>
      </w:r>
    </w:p>
    <w:p>
      <w:pPr>
        <w:pStyle w:val="ListBullet"/>
        <w:spacing w:before="0" w:after="80" w:line="276" w:lineRule="auto"/>
        <w:jc w:val="left"/>
      </w:pPr>
      <w:r>
        <w:rPr>
          <w:rFonts w:ascii="Segoe UI" w:hAnsi="Segoe UI"/>
          <w:b/>
          <w:i w:val="0"/>
          <w:color w:val="2E4053"/>
          <w:sz w:val="22"/>
        </w:rPr>
        <w:t xml:space="preserve">High-Stakes Incident Resolution: </w:t>
      </w:r>
      <w:r>
        <w:rPr>
          <w:rFonts w:ascii="Segoe UI" w:hAnsi="Segoe UI"/>
          <w:b w:val="0"/>
          <w:i w:val="0"/>
          <w:color w:val="2B2B2B"/>
          <w:sz w:val="22"/>
        </w:rPr>
        <w:t>Modeled an immediate, minute-by-minute containment and communication matrix triggered at 9:14 AM on a Monday following an severe discovery: the flagship King Bed Frame (MH-BD-11500, $499 retail) had incorrect dimensions listed live on Amazon for 3 days, capturing 47 orders in a 24-hour window. The playbook details technical asset containment, order backlog stratification (unshipped vs. shipped), support-tier scripting, and downstream financial exposure mitigation.</w:t>
      </w:r>
    </w:p>
    <w:p>
      <w:pPr>
        <w:pStyle w:val="ListBullet"/>
        <w:spacing w:before="0" w:after="80" w:line="276" w:lineRule="auto"/>
        <w:jc w:val="left"/>
      </w:pPr>
      <w:r>
        <w:rPr>
          <w:rFonts w:ascii="Segoe UI" w:hAnsi="Segoe UI"/>
          <w:b/>
          <w:i w:val="0"/>
          <w:color w:val="2E4053"/>
          <w:sz w:val="22"/>
        </w:rPr>
        <w:t xml:space="preserve">Qualitative Sentiment Engineering: </w:t>
      </w:r>
      <w:r>
        <w:rPr>
          <w:rFonts w:ascii="Segoe UI" w:hAnsi="Segoe UI"/>
          <w:b w:val="0"/>
          <w:i w:val="0"/>
          <w:color w:val="2B2B2B"/>
          <w:sz w:val="22"/>
        </w:rPr>
        <w:t>Mined raw customer text reviews for the Terracotta Ceramic Vase (MH-VS-25017). Segmented chaotic user feedback into structured, addressable complaint vectors (e.g., physical sizing discrepancies, transport transit damage due to unpadded packaging, and expectation gaps in product color photography). By isolating an outlier 4-star review, the analysis proved that the defect lay in the digital asset's color fidelity (burnt orange vs earthy terracotta) rather than manufacturing variance, and delivered a formal escalation briefing directly to the merchandising and supply chain directors.</w:t>
      </w:r>
    </w:p>
    <w:p>
      <w:pPr>
        <w:keepNext/>
        <w:spacing w:before="400" w:after="120" w:line="276" w:lineRule="auto"/>
        <w:jc w:val="left"/>
      </w:pPr>
      <w:r>
        <w:rPr>
          <w:rFonts w:ascii="Segoe UI" w:hAnsi="Segoe UI"/>
          <w:b/>
          <w:i w:val="0"/>
          <w:color w:val="0A5C66"/>
          <w:sz w:val="32"/>
        </w:rPr>
        <w:t>5. Spreadsheet Architecture &amp; Data Schema Guide</w:t>
      </w:r>
    </w:p>
    <w:p>
      <w:pPr>
        <w:spacing w:before="0" w:after="200" w:line="276" w:lineRule="auto"/>
        <w:jc w:val="left"/>
      </w:pPr>
      <w:r>
        <w:rPr>
          <w:rFonts w:ascii="Segoe UI" w:hAnsi="Segoe UI"/>
        </w:rPr>
        <w:t>The portfolio deliverables are mapped into a structured multi-tab architecture across two primary solution workbooks:</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592"/>
            <w:shd w:fill="0A5C66"/>
            <w:tcMar>
              <w:top w:w="120" w:type="dxa"/>
              <w:bottom w:w="120" w:type="dxa"/>
              <w:left w:w="180" w:type="dxa"/>
              <w:right w:w="180" w:type="dxa"/>
            </w:tcMar>
          </w:tcPr>
          <w:p>
            <w:pPr>
              <w:spacing w:before="0" w:after="0" w:line="276" w:lineRule="auto"/>
              <w:jc w:val="left"/>
            </w:pPr>
            <w:r>
              <w:rPr>
                <w:rFonts w:ascii="Segoe UI" w:hAnsi="Segoe UI"/>
                <w:b/>
                <w:i w:val="0"/>
                <w:color w:val="FFFFFF"/>
                <w:sz w:val="20"/>
              </w:rPr>
              <w:t>Workbook Tab / Asset</w:t>
            </w:r>
          </w:p>
        </w:tc>
        <w:tc>
          <w:tcPr>
            <w:tcW w:type="dxa" w:w="3888"/>
            <w:shd w:fill="0A5C66"/>
            <w:tcMar>
              <w:top w:w="120" w:type="dxa"/>
              <w:bottom w:w="120" w:type="dxa"/>
              <w:left w:w="180" w:type="dxa"/>
              <w:right w:w="180" w:type="dxa"/>
            </w:tcMar>
          </w:tcPr>
          <w:p>
            <w:pPr>
              <w:spacing w:before="0" w:after="0" w:line="276" w:lineRule="auto"/>
              <w:jc w:val="left"/>
            </w:pPr>
            <w:r>
              <w:rPr>
                <w:rFonts w:ascii="Segoe UI" w:hAnsi="Segoe UI"/>
                <w:b/>
                <w:i w:val="0"/>
                <w:color w:val="FFFFFF"/>
                <w:sz w:val="20"/>
              </w:rPr>
              <w:t>Granular Columns &amp; Metrics Tracked</w:t>
            </w:r>
          </w:p>
        </w:tc>
        <w:tc>
          <w:tcPr>
            <w:tcW w:type="dxa" w:w="2880"/>
            <w:shd w:fill="0A5C66"/>
            <w:tcMar>
              <w:top w:w="120" w:type="dxa"/>
              <w:bottom w:w="120" w:type="dxa"/>
              <w:left w:w="180" w:type="dxa"/>
              <w:right w:w="180" w:type="dxa"/>
            </w:tcMar>
          </w:tcPr>
          <w:p>
            <w:pPr>
              <w:spacing w:before="0" w:after="0" w:line="276" w:lineRule="auto"/>
              <w:jc w:val="left"/>
            </w:pPr>
            <w:r>
              <w:rPr>
                <w:rFonts w:ascii="Segoe UI" w:hAnsi="Segoe UI"/>
                <w:b/>
                <w:i w:val="0"/>
                <w:color w:val="FFFFFF"/>
                <w:sz w:val="20"/>
              </w:rPr>
              <w:t>Spreadsheet Engineering &amp; Analysis Focus</w:t>
            </w:r>
          </w:p>
        </w:tc>
      </w:tr>
      <w:tr>
        <w:trPr>
          <w:cantSplit/>
        </w:trPr>
        <w:tc>
          <w:tcPr>
            <w:tcW w:type="dxa" w:w="2592"/>
            <w:shd w:fill="FFFFFF"/>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Q1 Tab 1 &amp; 2:</w:t>
              <w:br/>
              <w:t>Inventory Health</w:t>
            </w:r>
          </w:p>
        </w:tc>
        <w:tc>
          <w:tcPr>
            <w:tcW w:type="dxa" w:w="3888"/>
            <w:shd w:fill="FFFFFF"/>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SKU, Product Name, Channel, Current Stock, Historical Multi-Period Unit Sales, Product Returns, Notes, Status Flag</w:t>
            </w:r>
          </w:p>
        </w:tc>
        <w:tc>
          <w:tcPr>
            <w:tcW w:type="dxa" w:w="2880"/>
            <w:shd w:fill="FFFFFF"/>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Deduplication algorithms, conditional formatting log blocks, case-insensitive string standardization, empty-value run-rate estimation.</w:t>
            </w:r>
          </w:p>
        </w:tc>
      </w:tr>
      <w:tr>
        <w:trPr>
          <w:cantSplit/>
        </w:trPr>
        <w:tc>
          <w:tcPr>
            <w:tcW w:type="dxa" w:w="2592"/>
            <w:shd w:fill="F4F7F6"/>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Q1 Tab 3 &amp; 4:</w:t>
              <w:br/>
              <w:t>Replenishment Plan</w:t>
            </w:r>
          </w:p>
        </w:tc>
        <w:tc>
          <w:tcPr>
            <w:tcW w:type="dxa" w:w="3888"/>
            <w:shd w:fill="F4F7F6"/>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Gross Sales, Returns Adjusted Sales, Normal Daily RoS, Peak Uplift Multiplier, Days of Cover, Purchase Priority, Capital Cost</w:t>
            </w:r>
          </w:p>
        </w:tc>
        <w:tc>
          <w:tcPr>
            <w:tcW w:type="dxa" w:w="2880"/>
            <w:shd w:fill="F4F7F6"/>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Dynamic forecasting array models, capital budgeting logic under bounded constraints, linear priority tiering (Critical / At Risk / Normal).</w:t>
            </w:r>
          </w:p>
        </w:tc>
      </w:tr>
      <w:tr>
        <w:trPr>
          <w:cantSplit/>
        </w:trPr>
        <w:tc>
          <w:tcPr>
            <w:tcW w:type="dxa" w:w="2592"/>
            <w:shd w:fill="FFFFFF"/>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Q2 Tab 1 &amp; 2:</w:t>
              <w:br/>
              <w:t>Performance Ads</w:t>
            </w:r>
          </w:p>
        </w:tc>
        <w:tc>
          <w:tcPr>
            <w:tcW w:type="dxa" w:w="3888"/>
            <w:shd w:fill="FFFFFF"/>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Campaign ID, Campaign Name, Ad Type, Impressions, Clicks, Spend, Revenue, Orders, CTR, CPC, CVR, ROAS, ACOS, Status Flag</w:t>
            </w:r>
          </w:p>
        </w:tc>
        <w:tc>
          <w:tcPr>
            <w:tcW w:type="dxa" w:w="2880"/>
            <w:shd w:fill="FFFFFF"/>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Calculation of marketing conversion parameters, automated threshold flags (`ACTIVE`, `SCALE UP`, `PAUSE`), programmatic marketing ROI tracking.</w:t>
            </w:r>
          </w:p>
        </w:tc>
      </w:tr>
      <w:tr>
        <w:trPr>
          <w:cantSplit/>
        </w:trPr>
        <w:tc>
          <w:tcPr>
            <w:tcW w:type="dxa" w:w="2592"/>
            <w:shd w:fill="F4F7F6"/>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Q2 Tab 3 &amp; 4:</w:t>
              <w:br/>
              <w:t>Budget Deployment</w:t>
            </w:r>
          </w:p>
        </w:tc>
        <w:tc>
          <w:tcPr>
            <w:tcW w:type="dxa" w:w="3888"/>
            <w:shd w:fill="F4F7F6"/>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Reduced Base Allocation, Percentage Account Share, Strategic Action Rationale, Executive Client Email Draft</w:t>
            </w:r>
          </w:p>
        </w:tc>
        <w:tc>
          <w:tcPr>
            <w:tcW w:type="dxa" w:w="2880"/>
            <w:shd w:fill="F4F7F6"/>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Mathematical distribution of capital down to a restricted $6,000 threshold, cross-functional inventory logic crossover, executive client defense writing.</w:t>
            </w:r>
          </w:p>
        </w:tc>
      </w:tr>
    </w:tbl>
    <w:p>
      <w:pPr>
        <w:keepNext/>
        <w:spacing w:before="400" w:after="120" w:line="276" w:lineRule="auto"/>
        <w:jc w:val="left"/>
      </w:pPr>
      <w:r>
        <w:rPr>
          <w:rFonts w:ascii="Segoe UI" w:hAnsi="Segoe UI"/>
          <w:b/>
          <w:i w:val="0"/>
          <w:color w:val="0A5C66"/>
          <w:sz w:val="32"/>
        </w:rPr>
        <w:t>6. Advanced Analytical &amp; Formula Expressions</w:t>
      </w:r>
    </w:p>
    <w:p>
      <w:pPr>
        <w:spacing w:before="0" w:after="160" w:line="276" w:lineRule="auto"/>
        <w:jc w:val="left"/>
      </w:pPr>
      <w:r>
        <w:rPr>
          <w:rFonts w:ascii="Segoe UI" w:hAnsi="Segoe UI"/>
        </w:rPr>
        <w:t>The engineering integrity of the e-commerce models relies on the precise deployment of advanced spreadsheet logic:</w:t>
      </w:r>
    </w:p>
    <w:tbl>
      <w:tblPr>
        <w:tblW w:type="auto" w:w="0"/>
        <w:jc w:val="center"/>
        <w:tblLook w:firstColumn="1" w:firstRow="1" w:lastColumn="0" w:lastRow="0" w:noHBand="0" w:noVBand="1" w:val="04A0"/>
      </w:tblPr>
      <w:tblGrid>
        <w:gridCol w:w="4680"/>
        <w:gridCol w:w="4680"/>
      </w:tblGrid>
      <w:tr>
        <w:trPr>
          <w:tblHeader/>
          <w:cantSplit/>
        </w:trPr>
        <w:tc>
          <w:tcPr>
            <w:tcW w:type="dxa" w:w="3168"/>
            <w:shd w:fill="2E4053"/>
            <w:tcMar>
              <w:top w:w="120" w:type="dxa"/>
              <w:bottom w:w="120" w:type="dxa"/>
              <w:left w:w="180" w:type="dxa"/>
              <w:right w:w="180" w:type="dxa"/>
            </w:tcMar>
          </w:tcPr>
          <w:p>
            <w:pPr>
              <w:spacing w:before="0" w:after="0" w:line="276" w:lineRule="auto"/>
              <w:jc w:val="left"/>
            </w:pPr>
            <w:r>
              <w:rPr>
                <w:rFonts w:ascii="Segoe UI" w:hAnsi="Segoe UI"/>
                <w:b/>
                <w:i w:val="0"/>
                <w:color w:val="FFFFFF"/>
                <w:sz w:val="20"/>
              </w:rPr>
              <w:t>Target Analytical Logic</w:t>
            </w:r>
          </w:p>
        </w:tc>
        <w:tc>
          <w:tcPr>
            <w:tcW w:type="dxa" w:w="6192"/>
            <w:shd w:fill="2E4053"/>
            <w:tcMar>
              <w:top w:w="120" w:type="dxa"/>
              <w:bottom w:w="120" w:type="dxa"/>
              <w:left w:w="180" w:type="dxa"/>
              <w:right w:w="180" w:type="dxa"/>
            </w:tcMar>
          </w:tcPr>
          <w:p>
            <w:pPr>
              <w:spacing w:before="0" w:after="0" w:line="276" w:lineRule="auto"/>
              <w:jc w:val="left"/>
            </w:pPr>
            <w:r>
              <w:rPr>
                <w:rFonts w:ascii="Segoe UI" w:hAnsi="Segoe UI"/>
                <w:b/>
                <w:i w:val="0"/>
                <w:color w:val="FFFFFF"/>
                <w:sz w:val="20"/>
              </w:rPr>
              <w:t>Spreadsheet Formula &amp; Production Implementation Syntax</w:t>
            </w:r>
          </w:p>
        </w:tc>
      </w:tr>
      <w:tr>
        <w:trPr>
          <w:cantSplit/>
        </w:trPr>
        <w:tc>
          <w:tcPr>
            <w:tcW w:type="dxa" w:w="3168"/>
            <w:shd w:fill="FFFFFF"/>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True Returns-Adjusted Daily Rate of Sale (RoS)</w:t>
            </w:r>
          </w:p>
        </w:tc>
        <w:tc>
          <w:tcPr>
            <w:tcW w:type="dxa" w:w="6192"/>
            <w:shd w:fill="FFFFFF"/>
            <w:tcMar>
              <w:top w:w="120" w:type="dxa"/>
              <w:bottom w:w="120" w:type="dxa"/>
              <w:left w:w="180" w:type="dxa"/>
              <w:right w:w="180" w:type="dxa"/>
            </w:tcMar>
          </w:tcPr>
          <w:p>
            <w:pPr>
              <w:spacing w:before="0" w:after="40" w:line="276" w:lineRule="auto"/>
              <w:jc w:val="left"/>
            </w:pPr>
            <w:r>
              <w:rPr>
                <w:rFonts w:ascii="Consolas" w:hAnsi="Consolas"/>
                <w:b w:val="0"/>
                <w:i w:val="0"/>
                <w:color w:val="8D2E23"/>
                <w:sz w:val="18"/>
              </w:rPr>
              <w:t>=(([@[Units Sold L30D]] - ([@[Returns (90D)]] * 0.33)) / 30)</w:t>
              <w:br/>
              <w:t>Rationales: Penalizes velocity based on downstream return volumes over a 90-day window to calculate net run-rates.</w:t>
            </w:r>
          </w:p>
        </w:tc>
      </w:tr>
      <w:tr>
        <w:trPr>
          <w:cantSplit/>
        </w:trPr>
        <w:tc>
          <w:tcPr>
            <w:tcW w:type="dxa" w:w="3168"/>
            <w:shd w:fill="F4F7F6"/>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Peak-Adjusted Runway / Days of Cover</w:t>
            </w:r>
          </w:p>
        </w:tc>
        <w:tc>
          <w:tcPr>
            <w:tcW w:type="dxa" w:w="6192"/>
            <w:shd w:fill="F4F7F6"/>
            <w:tcMar>
              <w:top w:w="120" w:type="dxa"/>
              <w:bottom w:w="120" w:type="dxa"/>
              <w:left w:w="180" w:type="dxa"/>
              <w:right w:w="180" w:type="dxa"/>
            </w:tcMar>
          </w:tcPr>
          <w:p>
            <w:pPr>
              <w:spacing w:before="0" w:after="40" w:line="276" w:lineRule="auto"/>
              <w:jc w:val="left"/>
            </w:pPr>
            <w:r>
              <w:rPr>
                <w:rFonts w:ascii="Consolas" w:hAnsi="Consolas"/>
                <w:b w:val="0"/>
                <w:i w:val="0"/>
                <w:color w:val="8D2E23"/>
                <w:sz w:val="18"/>
              </w:rPr>
              <w:t>=[@[Current Stock (Units)]] / ([@[Normal Daily RoS]] * [@[Peak Uplift Factor]])</w:t>
              <w:br/>
              <w:t>Rationales: Simulates exact lifespan of physical on-hand warehouse inventory under a 40% peak seasonal traffic spike.</w:t>
            </w:r>
          </w:p>
        </w:tc>
      </w:tr>
      <w:tr>
        <w:trPr>
          <w:cantSplit/>
        </w:trPr>
        <w:tc>
          <w:tcPr>
            <w:tcW w:type="dxa" w:w="3168"/>
            <w:shd w:fill="FFFFFF"/>
            <w:tcMar>
              <w:top w:w="120" w:type="dxa"/>
              <w:bottom w:w="120" w:type="dxa"/>
              <w:left w:w="180" w:type="dxa"/>
              <w:right w:w="180" w:type="dxa"/>
            </w:tcMar>
          </w:tcPr>
          <w:p>
            <w:pPr>
              <w:spacing w:before="0" w:after="40" w:line="276" w:lineRule="auto"/>
              <w:jc w:val="left"/>
            </w:pPr>
            <w:r>
              <w:rPr>
                <w:rFonts w:ascii="Segoe UI" w:hAnsi="Segoe UI"/>
                <w:b w:val="0"/>
                <w:i w:val="0"/>
                <w:color w:val="2B2B2B"/>
                <w:sz w:val="19"/>
              </w:rPr>
              <w:t>Cross-Functional Ad Status Governance Flag</w:t>
            </w:r>
          </w:p>
        </w:tc>
        <w:tc>
          <w:tcPr>
            <w:tcW w:type="dxa" w:w="6192"/>
            <w:shd w:fill="FFFFFF"/>
            <w:tcMar>
              <w:top w:w="120" w:type="dxa"/>
              <w:bottom w:w="120" w:type="dxa"/>
              <w:left w:w="180" w:type="dxa"/>
              <w:right w:w="180" w:type="dxa"/>
            </w:tcMar>
          </w:tcPr>
          <w:p>
            <w:pPr>
              <w:spacing w:before="0" w:after="40" w:line="276" w:lineRule="auto"/>
              <w:jc w:val="left"/>
            </w:pPr>
            <w:r>
              <w:rPr>
                <w:rFonts w:ascii="Consolas" w:hAnsi="Consolas"/>
                <w:b w:val="0"/>
                <w:i w:val="0"/>
                <w:color w:val="8D2E23"/>
                <w:sz w:val="18"/>
              </w:rPr>
              <w:t>=IF([@[Days of Cover]]&lt;=0, "FORCE-PAUSE - OOS", IF([@[ROAS]]&lt;1.5, "PAUSE - LOW ROI", "✅ ACTIVE"))</w:t>
              <w:br/>
              <w:t>Rationales: Automated logical testing that forces ad campaigns offline if stockouts are encountered or ROAS falls below structural break-even limits.</w:t>
            </w:r>
          </w:p>
        </w:tc>
      </w:tr>
    </w:tbl>
    <w:p>
      <w:pPr>
        <w:keepNext/>
        <w:spacing w:before="400" w:after="120" w:line="276" w:lineRule="auto"/>
        <w:jc w:val="left"/>
      </w:pPr>
      <w:r>
        <w:rPr>
          <w:rFonts w:ascii="Segoe UI" w:hAnsi="Segoe UI"/>
          <w:b/>
          <w:i w:val="0"/>
          <w:color w:val="0A5C66"/>
          <w:sz w:val="32"/>
        </w:rPr>
        <w:t>7. Professional Portfolio Competencies Demonstrated</w:t>
      </w:r>
    </w:p>
    <w:p>
      <w:pPr>
        <w:pStyle w:val="ListBullet"/>
        <w:spacing w:before="0" w:after="80" w:line="276" w:lineRule="auto"/>
        <w:jc w:val="left"/>
      </w:pPr>
      <w:r>
        <w:rPr>
          <w:rFonts w:ascii="Segoe UI" w:hAnsi="Segoe UI"/>
          <w:b/>
          <w:i w:val="0"/>
          <w:color w:val="0A5C66"/>
          <w:sz w:val="22"/>
        </w:rPr>
        <w:t xml:space="preserve">E-Commerce Channel Operations: </w:t>
      </w:r>
      <w:r>
        <w:rPr>
          <w:rFonts w:ascii="Segoe UI" w:hAnsi="Segoe UI"/>
          <w:b w:val="0"/>
          <w:i w:val="0"/>
          <w:color w:val="2B2B2B"/>
          <w:sz w:val="22"/>
        </w:rPr>
        <w:t>Mastery of Seller Central frameworks, listing optimization mechanics, inventory protection parameters, and FBA warehouse inbound workflows.</w:t>
      </w:r>
    </w:p>
    <w:p>
      <w:pPr>
        <w:pStyle w:val="ListBullet"/>
        <w:spacing w:before="0" w:after="80" w:line="276" w:lineRule="auto"/>
        <w:jc w:val="left"/>
      </w:pPr>
      <w:r>
        <w:rPr>
          <w:rFonts w:ascii="Segoe UI" w:hAnsi="Segoe UI"/>
          <w:b/>
          <w:i w:val="0"/>
          <w:color w:val="0A5C66"/>
          <w:sz w:val="22"/>
        </w:rPr>
        <w:t xml:space="preserve">Performance Marketing Optimization: </w:t>
      </w:r>
      <w:r>
        <w:rPr>
          <w:rFonts w:ascii="Segoe UI" w:hAnsi="Segoe UI"/>
          <w:b w:val="0"/>
          <w:i w:val="0"/>
          <w:color w:val="2B2B2B"/>
          <w:sz w:val="22"/>
        </w:rPr>
        <w:t>In-depth understanding of full-funnel advertising economics, cross-campaign budget balancing, attribution analysis, and profit defense strategies under constrained environments.</w:t>
      </w:r>
    </w:p>
    <w:p>
      <w:pPr>
        <w:pStyle w:val="ListBullet"/>
        <w:spacing w:before="0" w:after="80" w:line="276" w:lineRule="auto"/>
        <w:jc w:val="left"/>
      </w:pPr>
      <w:r>
        <w:rPr>
          <w:rFonts w:ascii="Segoe UI" w:hAnsi="Segoe UI"/>
          <w:b/>
          <w:i w:val="0"/>
          <w:color w:val="0A5C66"/>
          <w:sz w:val="22"/>
        </w:rPr>
        <w:t xml:space="preserve">Quantitative Inventory Control: </w:t>
      </w:r>
      <w:r>
        <w:rPr>
          <w:rFonts w:ascii="Segoe UI" w:hAnsi="Segoe UI"/>
          <w:b w:val="0"/>
          <w:i w:val="0"/>
          <w:color w:val="2B2B2B"/>
          <w:sz w:val="22"/>
        </w:rPr>
        <w:t>Advanced modeling of inventory run-rates, returns adjustments, forward peak seasonal demand profiles, and resource optimization under capital constraints.</w:t>
      </w:r>
    </w:p>
    <w:p>
      <w:pPr>
        <w:pStyle w:val="ListBullet"/>
        <w:spacing w:before="0" w:after="80" w:line="276" w:lineRule="auto"/>
        <w:jc w:val="left"/>
      </w:pPr>
      <w:r>
        <w:rPr>
          <w:rFonts w:ascii="Segoe UI" w:hAnsi="Segoe UI"/>
          <w:b/>
          <w:i w:val="0"/>
          <w:color w:val="0A5C66"/>
          <w:sz w:val="22"/>
        </w:rPr>
        <w:t xml:space="preserve">Crisis Containment &amp; Client Stewardship: </w:t>
      </w:r>
      <w:r>
        <w:rPr>
          <w:rFonts w:ascii="Segoe UI" w:hAnsi="Segoe UI"/>
          <w:b w:val="0"/>
          <w:i w:val="0"/>
          <w:color w:val="2B2B2B"/>
          <w:sz w:val="22"/>
        </w:rPr>
        <w:t>Proven experience handling major catalog failures and client account updates under pressure, maintaining professional transparency and brand trust.</w:t>
      </w:r>
    </w:p>
    <w:p>
      <w:pPr>
        <w:pStyle w:val="ListBullet"/>
        <w:spacing w:before="0" w:after="80" w:line="276" w:lineRule="auto"/>
        <w:jc w:val="left"/>
      </w:pPr>
      <w:r>
        <w:rPr>
          <w:rFonts w:ascii="Segoe UI" w:hAnsi="Segoe UI"/>
          <w:b/>
          <w:i w:val="0"/>
          <w:color w:val="0A5C66"/>
          <w:sz w:val="22"/>
        </w:rPr>
        <w:t xml:space="preserve">Qualitative Root-Cause Analysis: </w:t>
      </w:r>
      <w:r>
        <w:rPr>
          <w:rFonts w:ascii="Segoe UI" w:hAnsi="Segoe UI"/>
          <w:b w:val="0"/>
          <w:i w:val="0"/>
          <w:color w:val="2B2B2B"/>
          <w:sz w:val="22"/>
        </w:rPr>
        <w:t>Transforming unstructured text feedback into actionable product development notes, supply chain fixes, and digital asset listing adjustments.</w:t>
      </w:r>
    </w:p>
    <w:p>
      <w:pPr>
        <w:spacing w:before="480" w:after="120" w:line="276" w:lineRule="auto"/>
        <w:jc w:val="center"/>
      </w:pPr>
      <w:r>
        <w:rPr>
          <w:rFonts w:ascii="Segoe UI" w:hAnsi="Segoe UI"/>
          <w:b w:val="0"/>
          <w:i/>
          <w:color w:val="73808E"/>
          <w:sz w:val="19"/>
        </w:rPr>
        <w:t>--- End of Portfolio Documentation — Confidential Case Study Framework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