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DunderMifflin Enterprises</w:t>
      </w:r>
    </w:p>
    <w:p>
      <w:pPr>
        <w:pStyle w:val="Heading1"/>
        <w:spacing w:after="200"/>
      </w:pPr>
      <w:r>
        <w:t xml:space="preserve">Global Hiring &amp; Compensation Policy — APAC Region</w:t>
      </w:r>
    </w:p>
    <w:p>
      <w:pPr>
        <w:spacing w:after="60"/>
      </w:pPr>
      <w:r>
        <w:rPr>
          <w:b/>
          <w:bCs/>
          <w:color w:val="C00000"/>
        </w:rPr>
        <w:t xml:space="preserve">SCOPE: </w:t>
      </w:r>
      <w:r>
        <w:rPr>
          <w:b/>
          <w:bCs/>
          <w:color w:val="C00000"/>
        </w:rPr>
        <w:t xml:space="preserve">Zone=APAC | Sensitivity=General | Min-Role=Associate</w:t>
      </w:r>
    </w:p>
    <w:p>
      <w:pPr>
        <w:spacing w:after="60"/>
      </w:pPr>
      <w:r>
        <w:rPr>
          <w:b/>
          <w:bCs/>
        </w:rPr>
        <w:t xml:space="preserve">Effective Region: </w:t>
      </w:r>
      <w:r>
        <w:rPr>
          <w:b w:val="false"/>
          <w:bCs w:val="false"/>
        </w:rPr>
        <w:t xml:space="preserve">India, Japan, Singapore, Australia</w:t>
      </w:r>
    </w:p>
    <w:p>
      <w:pPr>
        <w:spacing w:after="60"/>
      </w:pPr>
      <w:r>
        <w:rPr>
          <w:b/>
          <w:bCs/>
        </w:rPr>
        <w:t xml:space="preserve">Document Owner: </w:t>
      </w:r>
      <w:r>
        <w:rPr>
          <w:b w:val="false"/>
          <w:bCs w:val="false"/>
        </w:rPr>
        <w:t xml:space="preserve">People Operations / Talent Acquisition</w:t>
      </w:r>
    </w:p>
    <w:p>
      <w:pPr>
        <w:spacing w:after="60"/>
      </w:pPr>
      <w:r>
        <w:rPr>
          <w:b/>
          <w:bCs/>
        </w:rPr>
        <w:t xml:space="preserve">Category Coverage: </w:t>
      </w:r>
      <w:r>
        <w:rPr>
          <w:b w:val="false"/>
          <w:bCs w:val="false"/>
        </w:rPr>
        <w:t xml:space="preserve">Associates, Senior, Executive</w:t>
      </w:r>
    </w:p>
    <w:p>
      <w:pPr>
        <w:spacing w:after="60"/>
      </w:pPr>
      <w:r>
        <w:rPr>
          <w:b/>
          <w:bCs/>
        </w:rPr>
        <w:t xml:space="preserve">Author: </w:t>
      </w:r>
      <w:r>
        <w:rPr>
          <w:b w:val="false"/>
          <w:bCs w:val="false"/>
        </w:rPr>
        <w:t xml:space="preserve">Oscar Martinez, People Operations APAC</w:t>
      </w:r>
    </w:p>
    <w:p>
      <w:pPr>
        <w:spacing w:after="60"/>
      </w:pPr>
      <w:r>
        <w:rPr>
          <w:b/>
          <w:bCs/>
        </w:rPr>
        <w:t xml:space="preserve">Last Edited: </w:t>
      </w:r>
      <w:r>
        <w:rPr>
          <w:b w:val="false"/>
          <w:bCs w:val="false"/>
        </w:rPr>
        <w:t xml:space="preserve">July 19, 2026 by Angela Martin</w:t>
      </w:r>
    </w:p>
    <w:p>
      <w:pPr>
        <w:pStyle w:val="Heading2"/>
        <w:spacing w:after="150" w:before="300"/>
      </w:pPr>
      <w:r>
        <w:t xml:space="preserve">1. Purpose</w:t>
      </w:r>
    </w:p>
    <w:p>
      <w:pPr>
        <w:spacing w:after="150"/>
      </w:pPr>
      <w:r>
        <w:t xml:space="preserve">This policy governs recruitment approval, offer construction, and compensation banding for all new hires in the APAC region. It sets standard compensation ranges by category, referral bonus amounts, and the exception process for offers outside standard bands. All figures are in $ unless otherwise noted.</w:t>
      </w:r>
    </w:p>
    <w:p>
      <w:pPr>
        <w:pStyle w:val="Heading2"/>
        <w:spacing w:after="150" w:before="300"/>
      </w:pPr>
      <w:r>
        <w:t xml:space="preserve">2. Compensation Bands &amp; Offer Approval</w:t>
      </w:r>
    </w:p>
    <w:p>
      <w:pPr>
        <w:pStyle w:val="Heading3"/>
        <w:spacing w:after="100" w:before="200"/>
      </w:pPr>
      <w:r>
        <w:t xml:space="preserve">Associates (e.g. Sales Representatives, Customer Service Reps)</w:t>
      </w:r>
    </w:p>
    <w:p>
      <w:pPr>
        <w:pStyle w:val="ListParagraph"/>
        <w:numPr>
          <w:ilvl w:val="0"/>
          <w:numId w:val="1"/>
        </w:numPr>
        <w:spacing w:after="80"/>
      </w:pPr>
      <w:r>
        <w:t xml:space="preserve">Compensation band: $18,000 – $28,000 base annually (local currency equivalents apply per country)</w:t>
      </w:r>
    </w:p>
    <w:p>
      <w:pPr>
        <w:pStyle w:val="ListParagraph"/>
        <w:numPr>
          <w:ilvl w:val="0"/>
          <w:numId w:val="1"/>
        </w:numPr>
        <w:spacing w:after="80"/>
      </w:pPr>
      <w:r>
        <w:t xml:space="preserve">Offer approval: Hiring Manager + Department Head</w:t>
      </w:r>
    </w:p>
    <w:p>
      <w:pPr>
        <w:pStyle w:val="Heading3"/>
        <w:spacing w:after="100" w:before="200"/>
      </w:pPr>
      <w:r>
        <w:t xml:space="preserve">Senior (e.g. Regional Managers, Account Executives)</w:t>
      </w:r>
    </w:p>
    <w:p>
      <w:pPr>
        <w:pStyle w:val="ListParagraph"/>
        <w:numPr>
          <w:ilvl w:val="0"/>
          <w:numId w:val="1"/>
        </w:numPr>
        <w:spacing w:after="80"/>
      </w:pPr>
      <w:r>
        <w:t xml:space="preserve">Compensation band: $35,000 – $55,000 base annually</w:t>
      </w:r>
    </w:p>
    <w:p>
      <w:pPr>
        <w:pStyle w:val="ListParagraph"/>
        <w:numPr>
          <w:ilvl w:val="0"/>
          <w:numId w:val="1"/>
        </w:numPr>
        <w:spacing w:after="80"/>
      </w:pPr>
      <w:r>
        <w:t xml:space="preserve">Offer approval: Hiring Manager + VP sign-off required</w:t>
      </w:r>
    </w:p>
    <w:p>
      <w:pPr>
        <w:pStyle w:val="Heading3"/>
        <w:spacing w:after="100" w:before="200"/>
      </w:pPr>
      <w:r>
        <w:t xml:space="preserve">Executive (CEO, CFO, and direct reports)</w:t>
      </w:r>
    </w:p>
    <w:p>
      <w:pPr>
        <w:pStyle w:val="ListParagraph"/>
        <w:numPr>
          <w:ilvl w:val="0"/>
          <w:numId w:val="1"/>
        </w:numPr>
        <w:spacing w:after="80"/>
      </w:pPr>
      <w:r>
        <w:t xml:space="preserve">Compensation band: $90,000 – $180,000 base annually, plus bonus per grade</w:t>
      </w:r>
    </w:p>
    <w:p>
      <w:pPr>
        <w:pStyle w:val="ListParagraph"/>
        <w:numPr>
          <w:ilvl w:val="0"/>
          <w:numId w:val="1"/>
        </w:numPr>
        <w:spacing w:after="80"/>
      </w:pPr>
      <w:r>
        <w:t xml:space="preserve">Offer approval: CEO and Compensation Committee sign-off required</w:t>
      </w:r>
    </w:p>
    <w:p>
      <w:pPr>
        <w:pStyle w:val="Heading2"/>
        <w:spacing w:after="150" w:before="300"/>
      </w:pPr>
      <w:r>
        <w:t xml:space="preserve">3. Referral Program</w:t>
      </w:r>
    </w:p>
    <w:p>
      <w:pPr>
        <w:spacing w:after="150"/>
      </w:pPr>
      <w:r>
        <w:t xml:space="preserve">Employees who refer a successfully hired candidate receive a referral bonus, paid after the new hire completes 90 days.</w:t>
      </w:r>
    </w:p>
    <w:p>
      <w:pPr>
        <w:pStyle w:val="ListParagraph"/>
        <w:numPr>
          <w:ilvl w:val="0"/>
          <w:numId w:val="1"/>
        </w:numPr>
        <w:spacing w:after="80"/>
      </w:pPr>
      <w:r>
        <w:t xml:space="preserve">Standard referral bonus: $500 per successful hire</w:t>
      </w:r>
    </w:p>
    <w:p>
      <w:pPr>
        <w:pStyle w:val="ListParagraph"/>
        <w:numPr>
          <w:ilvl w:val="0"/>
          <w:numId w:val="1"/>
        </w:numPr>
        <w:spacing w:after="80"/>
      </w:pPr>
      <w:r>
        <w:t xml:space="preserve">Referral bonus doubles for hard-to-fill technical or leadership roles open 60+ days, subject to VP approval</w:t>
      </w:r>
    </w:p>
    <w:p>
      <w:pPr>
        <w:pStyle w:val="Heading2"/>
        <w:spacing w:after="150" w:before="300"/>
      </w:pPr>
      <w:r>
        <w:t xml:space="preserve">4. Exception Process</w:t>
      </w:r>
    </w:p>
    <w:p>
      <w:pPr>
        <w:spacing w:after="150"/>
      </w:pPr>
      <w:r>
        <w:t xml:space="preserve">Offers outside the standard band for a category require written exception approval before extension to the candidate.</w:t>
      </w:r>
    </w:p>
    <w:p>
      <w:pPr>
        <w:pStyle w:val="ListParagraph"/>
        <w:numPr>
          <w:ilvl w:val="0"/>
          <w:numId w:val="1"/>
        </w:numPr>
        <w:spacing w:after="80"/>
      </w:pPr>
      <w:r>
        <w:t xml:space="preserve">Offering above the top of a category band requires CFO approval, with justification documented in the Compensation Exceptions Register</w:t>
      </w:r>
    </w:p>
    <w:p>
      <w:pPr>
        <w:pStyle w:val="ListParagraph"/>
        <w:numPr>
          <w:ilvl w:val="0"/>
          <w:numId w:val="1"/>
        </w:numPr>
        <w:spacing w:after="80"/>
      </w:pPr>
      <w:r>
        <w:t xml:space="preserve">Hiring a candidate into an Associate title at Senior-level compensation requires VP People Ops approval</w:t>
      </w:r>
    </w:p>
    <w:p>
      <w:pPr>
        <w:pStyle w:val="ListParagraph"/>
        <w:numPr>
          <w:ilvl w:val="0"/>
          <w:numId w:val="1"/>
        </w:numPr>
        <w:spacing w:after="80"/>
      </w:pPr>
      <w:r>
        <w:t xml:space="preserve">Sign-on bonuses above one month of base salary require CFO approval</w:t>
      </w:r>
    </w:p>
    <w:p>
      <w:pPr>
        <w:pStyle w:val="Heading2"/>
        <w:spacing w:after="150" w:before="300"/>
      </w:pPr>
      <w:r>
        <w:t xml:space="preserve">5. Background Checks &amp; Onboarding</w:t>
      </w:r>
    </w:p>
    <w:p>
      <w:pPr>
        <w:pStyle w:val="ListParagraph"/>
        <w:numPr>
          <w:ilvl w:val="0"/>
          <w:numId w:val="1"/>
        </w:numPr>
        <w:spacing w:after="80"/>
      </w:pPr>
      <w:r>
        <w:t xml:space="preserve">All Associate and Senior offers are contingent on standard background and reference checks</w:t>
      </w:r>
    </w:p>
    <w:p>
      <w:pPr>
        <w:pStyle w:val="ListParagraph"/>
        <w:numPr>
          <w:ilvl w:val="0"/>
          <w:numId w:val="1"/>
        </w:numPr>
        <w:spacing w:after="80"/>
      </w:pPr>
      <w:r>
        <w:t xml:space="preserve">Executive offers require an extended background check including prior employment and reference verification by an external agency</w:t>
      </w:r>
    </w:p>
    <w:p>
      <w:pPr>
        <w:pStyle w:val="ListParagraph"/>
        <w:numPr>
          <w:ilvl w:val="0"/>
          <w:numId w:val="1"/>
        </w:numPr>
        <w:spacing w:after="80"/>
      </w:pPr>
      <w:r>
        <w:t xml:space="preserve">Offer letters are valid for 10 business days unless otherwise extended in writing</w:t>
      </w:r>
    </w:p>
    <w:p>
      <w:pPr>
        <w:pStyle w:val="Heading2"/>
        <w:spacing w:after="150" w:before="300"/>
      </w:pPr>
      <w:r>
        <w:t xml:space="preserve">6. Questions &amp; Contacts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gridCol w:w="2200"/>
      </w:tblGrid>
      <w:tr>
        <w:tc>
          <w:tcPr>
            <w:tcW w:type="dxa" w:w="3000"/>
            <w:shd w:fill="D9D9D9" w:val="clear"/>
          </w:tcPr>
          <w:p>
            <w:r>
              <w:rPr>
                <w:b/>
                <w:bCs/>
              </w:rPr>
              <w:t xml:space="preserve">Topic</w:t>
            </w:r>
          </w:p>
        </w:tc>
        <w:tc>
          <w:tcPr>
            <w:tcW w:type="dxa" w:w="3000"/>
            <w:shd w:fill="D9D9D9" w:val="clear"/>
          </w:tcPr>
          <w:p>
            <w:r>
              <w:rPr>
                <w:b/>
                <w:bCs/>
              </w:rPr>
              <w:t xml:space="preserve">Contact</w:t>
            </w:r>
          </w:p>
        </w:tc>
        <w:tc>
          <w:tcPr>
            <w:tcW w:type="dxa" w:w="3000"/>
            <w:shd w:fill="D9D9D9" w:val="clear"/>
          </w:tcPr>
          <w:p>
            <w:r>
              <w:rPr>
                <w:b/>
                <w:bCs/>
              </w:rPr>
              <w:t xml:space="preserve">Email</w:t>
            </w:r>
          </w:p>
        </w:tc>
        <w:tc>
          <w:tcPr>
            <w:tcW w:type="dxa" w:w="3000"/>
            <w:shd w:fill="D9D9D9" w:val="clear"/>
          </w:tcPr>
          <w:p>
            <w:r>
              <w:rPr>
                <w:b/>
                <w:bCs/>
              </w:rPr>
              <w:t xml:space="preserve">Phone</w:t>
            </w:r>
          </w:p>
        </w:tc>
      </w:tr>
      <w:tr>
        <w:tc>
          <w:tcPr>
            <w:tcW w:type="dxa" w:w="3000"/>
          </w:tcPr>
          <w:p>
            <w:r>
              <w:t xml:space="preserve">General policy questions</w:t>
            </w:r>
          </w:p>
        </w:tc>
        <w:tc>
          <w:tcPr>
            <w:tcW w:type="dxa" w:w="3200"/>
          </w:tcPr>
          <w:p>
            <w:r>
              <w:t xml:space="preserve">Oscar Martinez, People Ops APAC</w:t>
            </w:r>
          </w:p>
        </w:tc>
        <w:tc>
          <w:tcPr>
            <w:tcW w:type="dxa" w:w="3200"/>
          </w:tcPr>
          <w:p>
            <w:r>
              <w:t xml:space="preserve">oscar.martinez@dundermifflin-corp.com</w:t>
            </w:r>
          </w:p>
        </w:tc>
        <w:tc>
          <w:tcPr>
            <w:tcW w:type="dxa" w:w="2200"/>
          </w:tcPr>
          <w:p>
            <w:r>
              <w:t xml:space="preserve">+65 6555 0134</w:t>
            </w:r>
          </w:p>
        </w:tc>
      </w:tr>
      <w:tr>
        <w:tc>
          <w:tcPr>
            <w:tcW w:type="dxa" w:w="3000"/>
          </w:tcPr>
          <w:p>
            <w:r>
              <w:t xml:space="preserve">Exception approvals</w:t>
            </w:r>
          </w:p>
        </w:tc>
        <w:tc>
          <w:tcPr>
            <w:tcW w:type="dxa" w:w="3200"/>
          </w:tcPr>
          <w:p>
            <w:r>
              <w:t xml:space="preserve">Angela Martin, VP APAC</w:t>
            </w:r>
          </w:p>
        </w:tc>
        <w:tc>
          <w:tcPr>
            <w:tcW w:type="dxa" w:w="3200"/>
          </w:tcPr>
          <w:p>
            <w:r>
              <w:t xml:space="preserve">angela.martin@dundermifflin-corp.com</w:t>
            </w:r>
          </w:p>
        </w:tc>
        <w:tc>
          <w:tcPr>
            <w:tcW w:type="dxa" w:w="2200"/>
          </w:tcPr>
          <w:p>
            <w:r>
              <w:t xml:space="preserve">+65 6555 0177</w:t>
            </w:r>
          </w:p>
        </w:tc>
      </w:tr>
      <w:tr>
        <w:tc>
          <w:tcPr>
            <w:tcW w:type="dxa" w:w="3000"/>
          </w:tcPr>
          <w:p>
            <w:r>
              <w:t xml:space="preserve">Booking &amp; process issues</w:t>
            </w:r>
          </w:p>
        </w:tc>
        <w:tc>
          <w:tcPr>
            <w:tcW w:type="dxa" w:w="3200"/>
          </w:tcPr>
          <w:p>
            <w:r>
              <w:t xml:space="preserve">Phyllis Vance, Accounting APAC</w:t>
            </w:r>
          </w:p>
        </w:tc>
        <w:tc>
          <w:tcPr>
            <w:tcW w:type="dxa" w:w="3200"/>
          </w:tcPr>
          <w:p>
            <w:r>
              <w:t xml:space="preserve">phyllis.vance@dundermifflin-corp.com</w:t>
            </w:r>
          </w:p>
        </w:tc>
        <w:tc>
          <w:tcPr>
            <w:tcW w:type="dxa" w:w="2200"/>
          </w:tcPr>
          <w:p>
            <w:r>
              <w:t xml:space="preserve">+65 6555 0188</w:t>
            </w:r>
          </w:p>
        </w:tc>
      </w:tr>
      <w:tr>
        <w:tc>
          <w:tcPr>
            <w:tcW w:type="dxa" w:w="3000"/>
          </w:tcPr>
          <w:p>
            <w:r>
              <w:t xml:space="preserve">Escalations</w:t>
            </w:r>
          </w:p>
        </w:tc>
        <w:tc>
          <w:tcPr>
            <w:tcW w:type="dxa" w:w="3200"/>
          </w:tcPr>
          <w:p>
            <w:r>
              <w:t xml:space="preserve">Robert California, CFO</w:t>
            </w:r>
          </w:p>
        </w:tc>
        <w:tc>
          <w:tcPr>
            <w:tcW w:type="dxa" w:w="3200"/>
          </w:tcPr>
          <w:p>
            <w:r>
              <w:t xml:space="preserve">robert.california@dundermifflin-corp.com</w:t>
            </w:r>
          </w:p>
        </w:tc>
        <w:tc>
          <w:tcPr>
            <w:tcW w:type="dxa" w:w="2200"/>
          </w:tcPr>
          <w:p>
            <w:r>
              <w:t xml:space="preserve">+1 (570) 555-0101</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2026-08-03T11:22:41.415Z</dcterms:created>
  <dcterms:modified xsi:type="dcterms:W3CDTF">2026-08-03T11:22:41.415Z</dcterms:modified>
</cp:coreProperties>
</file>

<file path=docProps/custom.xml><?xml version="1.0" encoding="utf-8"?>
<Properties xmlns="http://schemas.openxmlformats.org/officeDocument/2006/custom-properties" xmlns:vt="http://schemas.openxmlformats.org/officeDocument/2006/docPropsVTypes"/>
</file>