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DunderMifflin Enterprises</w:t>
      </w:r>
    </w:p>
    <w:p>
      <w:pPr>
        <w:pStyle w:val="Heading1"/>
        <w:spacing w:after="200"/>
      </w:pPr>
      <w:r>
        <w:t xml:space="preserve">Global Parental Leave Policy — APAC Region</w:t>
      </w:r>
    </w:p>
    <w:p>
      <w:pPr>
        <w:spacing w:after="60"/>
      </w:pPr>
      <w:r>
        <w:rPr>
          <w:b/>
          <w:bCs/>
          <w:color w:val="C00000"/>
        </w:rPr>
        <w:t xml:space="preserve">SCOPE: </w:t>
      </w:r>
      <w:r>
        <w:rPr>
          <w:b/>
          <w:bCs/>
          <w:color w:val="C00000"/>
        </w:rPr>
        <w:t xml:space="preserve">Zone=APAC | Sensitivity=General | Min-Role=Associate</w:t>
      </w:r>
    </w:p>
    <w:p>
      <w:pPr>
        <w:spacing w:after="60"/>
      </w:pPr>
      <w:r>
        <w:rPr>
          <w:b/>
          <w:bCs/>
        </w:rPr>
        <w:t xml:space="preserve">Effective Region: </w:t>
      </w:r>
      <w:r>
        <w:rPr>
          <w:b w:val="false"/>
          <w:bCs w:val="false"/>
        </w:rPr>
        <w:t xml:space="preserve">India, Japan, Singapore, Australia</w:t>
      </w:r>
    </w:p>
    <w:p>
      <w:pPr>
        <w:spacing w:after="60"/>
      </w:pPr>
      <w:r>
        <w:rPr>
          <w:b/>
          <w:bCs/>
        </w:rPr>
        <w:t xml:space="preserve">Document Owner: </w:t>
      </w:r>
      <w:r>
        <w:rPr>
          <w:b w:val="false"/>
          <w:bCs w:val="false"/>
        </w:rPr>
        <w:t xml:space="preserve">People Operations</w:t>
      </w:r>
    </w:p>
    <w:p>
      <w:pPr>
        <w:spacing w:after="60"/>
      </w:pPr>
      <w:r>
        <w:rPr>
          <w:b/>
          <w:bCs/>
        </w:rPr>
        <w:t xml:space="preserve">Category Coverage: </w:t>
      </w:r>
      <w:r>
        <w:rPr>
          <w:b w:val="false"/>
          <w:bCs w:val="false"/>
        </w:rPr>
        <w:t xml:space="preserve">Associates, Senior, Executive</w:t>
      </w:r>
    </w:p>
    <w:p>
      <w:pPr>
        <w:spacing w:after="60"/>
      </w:pPr>
      <w:r>
        <w:rPr>
          <w:b/>
          <w:bCs/>
        </w:rPr>
        <w:t xml:space="preserve">Author: </w:t>
      </w:r>
      <w:r>
        <w:rPr>
          <w:b w:val="false"/>
          <w:bCs w:val="false"/>
        </w:rPr>
        <w:t xml:space="preserve">Oscar Martinez, People Operations APAC</w:t>
      </w:r>
    </w:p>
    <w:p>
      <w:pPr>
        <w:spacing w:after="60"/>
      </w:pPr>
      <w:r>
        <w:rPr>
          <w:b/>
          <w:bCs/>
        </w:rPr>
        <w:t xml:space="preserve">Last Edited: </w:t>
      </w:r>
      <w:r>
        <w:rPr>
          <w:b w:val="false"/>
          <w:bCs w:val="false"/>
        </w:rPr>
        <w:t xml:space="preserve">July 20, 2026 by Angela Martin</w:t>
      </w:r>
    </w:p>
    <w:p>
      <w:pPr>
        <w:pStyle w:val="Heading2"/>
        <w:spacing w:after="150" w:before="300"/>
      </w:pPr>
      <w:r>
        <w:t xml:space="preserve">1. Purpose</w:t>
      </w:r>
    </w:p>
    <w:p>
      <w:pPr>
        <w:spacing w:after="150"/>
      </w:pPr>
      <w:r>
        <w:t xml:space="preserve">This policy governs parental (maternity, paternity, and adoption) leave entitlements for DunderMifflin Enterprises employees in the APAC region. Entitlements are set per country to comply with local statutory minimums, with company enhancements applied on top where noted. This document covers India, Japan, Singapore, and Australia; entitlements do not transfer between countries if an employee relocates mid-leave.</w:t>
      </w:r>
    </w:p>
    <w:p>
      <w:pPr>
        <w:pStyle w:val="Heading2"/>
        <w:spacing w:after="150" w:before="300"/>
      </w:pPr>
      <w:r>
        <w:t xml:space="preserve">2. Country-Wise Leave Entitlements</w:t>
      </w:r>
    </w:p>
    <w:p>
      <w:pPr>
        <w:pStyle w:val="Heading3"/>
        <w:spacing w:after="100" w:before="200"/>
      </w:pPr>
      <w:r>
        <w:t xml:space="preserve">India</w:t>
      </w:r>
    </w:p>
    <w:p>
      <w:pPr>
        <w:pStyle w:val="ListParagraph"/>
        <w:numPr>
          <w:ilvl w:val="0"/>
          <w:numId w:val="1"/>
        </w:numPr>
        <w:spacing w:after="80"/>
      </w:pPr>
      <w:r>
        <w:t xml:space="preserve">26 weeks paid maternity leave per the Maternity Benefit Act</w:t>
      </w:r>
    </w:p>
    <w:p>
      <w:pPr>
        <w:pStyle w:val="ListParagraph"/>
        <w:numPr>
          <w:ilvl w:val="0"/>
          <w:numId w:val="1"/>
        </w:numPr>
        <w:spacing w:after="80"/>
      </w:pPr>
      <w:r>
        <w:t xml:space="preserve">Paternity leave: 2 weeks, company policy (no statutory minimum)</w:t>
      </w:r>
    </w:p>
    <w:p>
      <w:pPr>
        <w:pStyle w:val="Heading3"/>
        <w:spacing w:after="100" w:before="200"/>
      </w:pPr>
      <w:r>
        <w:t xml:space="preserve">Japan</w:t>
      </w:r>
    </w:p>
    <w:p>
      <w:pPr>
        <w:pStyle w:val="ListParagraph"/>
        <w:numPr>
          <w:ilvl w:val="0"/>
          <w:numId w:val="1"/>
        </w:numPr>
        <w:spacing w:after="80"/>
      </w:pPr>
      <w:r>
        <w:t xml:space="preserve">14 weeks maternity leave, plus childcare leave available up to 1 year (partial government pay)</w:t>
      </w:r>
    </w:p>
    <w:p>
      <w:pPr>
        <w:pStyle w:val="ListParagraph"/>
        <w:numPr>
          <w:ilvl w:val="0"/>
          <w:numId w:val="1"/>
        </w:numPr>
        <w:spacing w:after="80"/>
      </w:pPr>
      <w:r>
        <w:t xml:space="preserve">Company tops up the first 8 weeks to 100% of base salary</w:t>
      </w:r>
    </w:p>
    <w:p>
      <w:pPr>
        <w:pStyle w:val="Heading3"/>
        <w:spacing w:after="100" w:before="200"/>
      </w:pPr>
      <w:r>
        <w:t xml:space="preserve">Singapore</w:t>
      </w:r>
    </w:p>
    <w:p>
      <w:pPr>
        <w:pStyle w:val="ListParagraph"/>
        <w:numPr>
          <w:ilvl w:val="0"/>
          <w:numId w:val="1"/>
        </w:numPr>
        <w:spacing w:after="80"/>
      </w:pPr>
      <w:r>
        <w:t xml:space="preserve">16 weeks paid maternity leave (government-funded portion plus company top-up to full pay)</w:t>
      </w:r>
    </w:p>
    <w:p>
      <w:pPr>
        <w:pStyle w:val="ListParagraph"/>
        <w:numPr>
          <w:ilvl w:val="0"/>
          <w:numId w:val="1"/>
        </w:numPr>
        <w:spacing w:after="80"/>
      </w:pPr>
      <w:r>
        <w:t xml:space="preserve">Paternity leave: 2 weeks, government-funded</w:t>
      </w:r>
    </w:p>
    <w:p>
      <w:pPr>
        <w:pStyle w:val="Heading3"/>
        <w:spacing w:after="100" w:before="200"/>
      </w:pPr>
      <w:r>
        <w:t xml:space="preserve">Australia</w:t>
      </w:r>
    </w:p>
    <w:p>
      <w:pPr>
        <w:pStyle w:val="ListParagraph"/>
        <w:numPr>
          <w:ilvl w:val="0"/>
          <w:numId w:val="1"/>
        </w:numPr>
        <w:spacing w:after="80"/>
      </w:pPr>
      <w:r>
        <w:t xml:space="preserve">18 weeks paid parental leave under the government Paid Parental Leave scheme</w:t>
      </w:r>
    </w:p>
    <w:p>
      <w:pPr>
        <w:pStyle w:val="ListParagraph"/>
        <w:numPr>
          <w:ilvl w:val="0"/>
          <w:numId w:val="1"/>
        </w:numPr>
        <w:spacing w:after="80"/>
      </w:pPr>
      <w:r>
        <w:t xml:space="preserve">Company supplement: additional 6 weeks at 100% of base salary</w:t>
      </w:r>
    </w:p>
    <w:p>
      <w:pPr>
        <w:pStyle w:val="Heading2"/>
        <w:spacing w:after="150" w:before="300"/>
      </w:pPr>
      <w:r>
        <w:t xml:space="preserve">3. Category-Specific Provisions</w:t>
      </w:r>
    </w:p>
    <w:p>
      <w:pPr>
        <w:pStyle w:val="ListParagraph"/>
        <w:numPr>
          <w:ilvl w:val="0"/>
          <w:numId w:val="1"/>
        </w:numPr>
        <w:spacing w:after="80"/>
      </w:pPr>
      <w:r>
        <w:t xml:space="preserve">Associates and Senior employees: standard entitlement as listed per country, full job protection on return</w:t>
      </w:r>
    </w:p>
    <w:p>
      <w:pPr>
        <w:pStyle w:val="ListParagraph"/>
        <w:numPr>
          <w:ilvl w:val="0"/>
          <w:numId w:val="1"/>
        </w:numPr>
        <w:spacing w:after="80"/>
      </w:pPr>
      <w:r>
        <w:t xml:space="preserve">Executives: same duration as standard entitlement, with an optional staggered return-to-work arrangement (reduced schedule for first 4 weeks) available on request</w:t>
      </w:r>
    </w:p>
    <w:p>
      <w:pPr>
        <w:pStyle w:val="Heading2"/>
        <w:spacing w:after="150" w:before="300"/>
      </w:pPr>
      <w:r>
        <w:t xml:space="preserve">4. Exception Process</w:t>
      </w:r>
    </w:p>
    <w:p>
      <w:pPr>
        <w:spacing w:after="150"/>
      </w:pPr>
      <w:r>
        <w:t xml:space="preserve">Extensions beyond standard entitlement (e.g. for medical complications, multiple births, or adoption-specific circumstances) require written approval from a Vice President and People Operations.</w:t>
      </w:r>
    </w:p>
    <w:p>
      <w:pPr>
        <w:pStyle w:val="ListParagraph"/>
        <w:numPr>
          <w:ilvl w:val="0"/>
          <w:numId w:val="1"/>
        </w:numPr>
        <w:spacing w:after="80"/>
      </w:pPr>
      <w:r>
        <w:t xml:space="preserve">Medical complication extensions: approved by HR upon medical documentation, no VP approval needed</w:t>
      </w:r>
    </w:p>
    <w:p>
      <w:pPr>
        <w:pStyle w:val="ListParagraph"/>
        <w:numPr>
          <w:ilvl w:val="0"/>
          <w:numId w:val="1"/>
        </w:numPr>
        <w:spacing w:after="80"/>
      </w:pPr>
      <w:r>
        <w:t xml:space="preserve">Discretionary extension requests beyond medical need: require VP + People Ops joint approval, logged in the Leave Exceptions Register</w:t>
      </w:r>
    </w:p>
    <w:p>
      <w:pPr>
        <w:pStyle w:val="Heading2"/>
        <w:spacing w:after="150" w:before="300"/>
      </w:pPr>
      <w:r>
        <w:t xml:space="preserve">5. Pay Continuation</w:t>
      </w:r>
    </w:p>
    <w:p>
      <w:pPr>
        <w:pStyle w:val="ListParagraph"/>
        <w:numPr>
          <w:ilvl w:val="0"/>
          <w:numId w:val="1"/>
        </w:numPr>
        <w:spacing w:after="80"/>
      </w:pPr>
      <w:r>
        <w:t xml:space="preserve">Company top-up pay (where noted per country) is calculated on base salary only, excluding bonus and commission</w:t>
      </w:r>
    </w:p>
    <w:p>
      <w:pPr>
        <w:pStyle w:val="ListParagraph"/>
        <w:numPr>
          <w:ilvl w:val="0"/>
          <w:numId w:val="1"/>
        </w:numPr>
        <w:spacing w:after="80"/>
      </w:pPr>
      <w:r>
        <w:t xml:space="preserve">Benefits (health coverage, retirement contributions) continue uninterrupted throughout the leave period</w:t>
      </w:r>
    </w:p>
    <w:p>
      <w:pPr>
        <w:pStyle w:val="Heading2"/>
        <w:spacing w:after="150" w:before="300"/>
      </w:pPr>
      <w:r>
        <w:t xml:space="preserve">6. Questions &amp; Contacts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gridCol w:w="2200"/>
      </w:tblGrid>
      <w:tr>
        <w:tc>
          <w:tcPr>
            <w:tcW w:type="dxa" w:w="3000"/>
            <w:shd w:fill="D9D9D9" w:val="clear"/>
          </w:tcPr>
          <w:p>
            <w:r>
              <w:rPr>
                <w:b/>
                <w:bCs/>
              </w:rPr>
              <w:t xml:space="preserve">Topic</w:t>
            </w:r>
          </w:p>
        </w:tc>
        <w:tc>
          <w:tcPr>
            <w:tcW w:type="dxa" w:w="3000"/>
            <w:shd w:fill="D9D9D9" w:val="clear"/>
          </w:tcPr>
          <w:p>
            <w:r>
              <w:rPr>
                <w:b/>
                <w:bCs/>
              </w:rPr>
              <w:t xml:space="preserve">Contact</w:t>
            </w:r>
          </w:p>
        </w:tc>
        <w:tc>
          <w:tcPr>
            <w:tcW w:type="dxa" w:w="3000"/>
            <w:shd w:fill="D9D9D9" w:val="clear"/>
          </w:tcPr>
          <w:p>
            <w:r>
              <w:rPr>
                <w:b/>
                <w:bCs/>
              </w:rPr>
              <w:t xml:space="preserve">Email</w:t>
            </w:r>
          </w:p>
        </w:tc>
        <w:tc>
          <w:tcPr>
            <w:tcW w:type="dxa" w:w="3000"/>
            <w:shd w:fill="D9D9D9" w:val="clear"/>
          </w:tcPr>
          <w:p>
            <w:r>
              <w:rPr>
                <w:b/>
                <w:bCs/>
              </w:rPr>
              <w:t xml:space="preserve">Phone</w:t>
            </w:r>
          </w:p>
        </w:tc>
      </w:tr>
      <w:tr>
        <w:tc>
          <w:tcPr>
            <w:tcW w:type="dxa" w:w="3000"/>
          </w:tcPr>
          <w:p>
            <w:r>
              <w:t xml:space="preserve">General policy questions</w:t>
            </w:r>
          </w:p>
        </w:tc>
        <w:tc>
          <w:tcPr>
            <w:tcW w:type="dxa" w:w="3200"/>
          </w:tcPr>
          <w:p>
            <w:r>
              <w:t xml:space="preserve">Oscar Martinez, People Ops APAC</w:t>
            </w:r>
          </w:p>
        </w:tc>
        <w:tc>
          <w:tcPr>
            <w:tcW w:type="dxa" w:w="3200"/>
          </w:tcPr>
          <w:p>
            <w:r>
              <w:t xml:space="preserve">oscar.martinez@dundermifflin-corp.com</w:t>
            </w:r>
          </w:p>
        </w:tc>
        <w:tc>
          <w:tcPr>
            <w:tcW w:type="dxa" w:w="2200"/>
          </w:tcPr>
          <w:p>
            <w:r>
              <w:t xml:space="preserve">+65 6555 0134</w:t>
            </w:r>
          </w:p>
        </w:tc>
      </w:tr>
      <w:tr>
        <w:tc>
          <w:tcPr>
            <w:tcW w:type="dxa" w:w="3000"/>
          </w:tcPr>
          <w:p>
            <w:r>
              <w:t xml:space="preserve">Exception approvals</w:t>
            </w:r>
          </w:p>
        </w:tc>
        <w:tc>
          <w:tcPr>
            <w:tcW w:type="dxa" w:w="3200"/>
          </w:tcPr>
          <w:p>
            <w:r>
              <w:t xml:space="preserve">Angela Martin, VP APAC</w:t>
            </w:r>
          </w:p>
        </w:tc>
        <w:tc>
          <w:tcPr>
            <w:tcW w:type="dxa" w:w="3200"/>
          </w:tcPr>
          <w:p>
            <w:r>
              <w:t xml:space="preserve">angela.martin@dundermifflin-corp.com</w:t>
            </w:r>
          </w:p>
        </w:tc>
        <w:tc>
          <w:tcPr>
            <w:tcW w:type="dxa" w:w="2200"/>
          </w:tcPr>
          <w:p>
            <w:r>
              <w:t xml:space="preserve">+65 6555 0177</w:t>
            </w:r>
          </w:p>
        </w:tc>
      </w:tr>
      <w:tr>
        <w:tc>
          <w:tcPr>
            <w:tcW w:type="dxa" w:w="3000"/>
          </w:tcPr>
          <w:p>
            <w:r>
              <w:t xml:space="preserve">Booking &amp; process issues</w:t>
            </w:r>
          </w:p>
        </w:tc>
        <w:tc>
          <w:tcPr>
            <w:tcW w:type="dxa" w:w="3200"/>
          </w:tcPr>
          <w:p>
            <w:r>
              <w:t xml:space="preserve">Phyllis Vance, Accounting APAC</w:t>
            </w:r>
          </w:p>
        </w:tc>
        <w:tc>
          <w:tcPr>
            <w:tcW w:type="dxa" w:w="3200"/>
          </w:tcPr>
          <w:p>
            <w:r>
              <w:t xml:space="preserve">phyllis.vance@dundermifflin-corp.com</w:t>
            </w:r>
          </w:p>
        </w:tc>
        <w:tc>
          <w:tcPr>
            <w:tcW w:type="dxa" w:w="2200"/>
          </w:tcPr>
          <w:p>
            <w:r>
              <w:t xml:space="preserve">+65 6555 0188</w:t>
            </w:r>
          </w:p>
        </w:tc>
      </w:tr>
      <w:tr>
        <w:tc>
          <w:tcPr>
            <w:tcW w:type="dxa" w:w="3000"/>
          </w:tcPr>
          <w:p>
            <w:r>
              <w:t xml:space="preserve">Escalations</w:t>
            </w:r>
          </w:p>
        </w:tc>
        <w:tc>
          <w:tcPr>
            <w:tcW w:type="dxa" w:w="3200"/>
          </w:tcPr>
          <w:p>
            <w:r>
              <w:t xml:space="preserve">Robert California, CFO</w:t>
            </w:r>
          </w:p>
        </w:tc>
        <w:tc>
          <w:tcPr>
            <w:tcW w:type="dxa" w:w="3200"/>
          </w:tcPr>
          <w:p>
            <w:r>
              <w:t xml:space="preserve">robert.california@dundermifflin-corp.com</w:t>
            </w:r>
          </w:p>
        </w:tc>
        <w:tc>
          <w:tcPr>
            <w:tcW w:type="dxa" w:w="2200"/>
          </w:tcPr>
          <w:p>
            <w:r>
              <w:t xml:space="preserve">+1 (570) 555-0101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2026-08-03T11:22:41.618Z</dcterms:created>
  <dcterms:modified xsi:type="dcterms:W3CDTF">2026-08-03T11:22:41.618Z</dcterms:modified>
</cp:coreProperties>
</file>

<file path=docProps/custom.xml><?xml version="1.0" encoding="utf-8"?>
<Properties xmlns="http://schemas.openxmlformats.org/officeDocument/2006/custom-properties" xmlns:vt="http://schemas.openxmlformats.org/officeDocument/2006/docPropsVTypes"/>
</file>