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DunderMifflin Enterprises</w:t>
      </w:r>
    </w:p>
    <w:p>
      <w:pPr>
        <w:pStyle w:val="Heading1"/>
        <w:spacing w:after="200"/>
      </w:pPr>
      <w:r>
        <w:t xml:space="preserve">Global Parental Leave Policy — Americas Region</w:t>
      </w:r>
    </w:p>
    <w:p>
      <w:pPr>
        <w:spacing w:after="60"/>
      </w:pPr>
      <w:r>
        <w:rPr>
          <w:b/>
          <w:bCs/>
          <w:color w:val="C00000"/>
        </w:rPr>
        <w:t xml:space="preserve">SCOPE: </w:t>
      </w:r>
      <w:r>
        <w:rPr>
          <w:b/>
          <w:bCs/>
          <w:color w:val="C00000"/>
        </w:rPr>
        <w:t xml:space="preserve">Zone=Americas | Sensitivity=General | Min-Role=Associate</w:t>
      </w:r>
    </w:p>
    <w:p>
      <w:pPr>
        <w:spacing w:after="60"/>
      </w:pPr>
      <w:r>
        <w:rPr>
          <w:b/>
          <w:bCs/>
        </w:rPr>
        <w:t xml:space="preserve">Effective Region: </w:t>
      </w:r>
      <w:r>
        <w:rPr>
          <w:b w:val="false"/>
          <w:bCs w:val="false"/>
        </w:rPr>
        <w:t xml:space="preserve">United States, Canada, Mexico</w:t>
      </w:r>
    </w:p>
    <w:p>
      <w:pPr>
        <w:spacing w:after="60"/>
      </w:pPr>
      <w:r>
        <w:rPr>
          <w:b/>
          <w:bCs/>
        </w:rPr>
        <w:t xml:space="preserve">Document Owner: </w:t>
      </w:r>
      <w:r>
        <w:rPr>
          <w:b w:val="false"/>
          <w:bCs w:val="false"/>
        </w:rPr>
        <w:t xml:space="preserve">People Operations</w:t>
      </w:r>
    </w:p>
    <w:p>
      <w:pPr>
        <w:spacing w:after="60"/>
      </w:pPr>
      <w:r>
        <w:rPr>
          <w:b/>
          <w:bCs/>
        </w:rPr>
        <w:t xml:space="preserve">Category Coverage: </w:t>
      </w:r>
      <w:r>
        <w:rPr>
          <w:b w:val="false"/>
          <w:bCs w:val="false"/>
        </w:rPr>
        <w:t xml:space="preserve">Associates, Senior, Executive</w:t>
      </w:r>
    </w:p>
    <w:p>
      <w:pPr>
        <w:spacing w:after="60"/>
      </w:pPr>
      <w:r>
        <w:rPr>
          <w:b/>
          <w:bCs/>
        </w:rPr>
        <w:t xml:space="preserve">Author: </w:t>
      </w:r>
      <w:r>
        <w:rPr>
          <w:b w:val="false"/>
          <w:bCs w:val="false"/>
        </w:rPr>
        <w:t xml:space="preserve">Holly Flax, People Operations</w:t>
      </w:r>
    </w:p>
    <w:p>
      <w:pPr>
        <w:spacing w:after="60"/>
      </w:pPr>
      <w:r>
        <w:rPr>
          <w:b/>
          <w:bCs/>
        </w:rPr>
        <w:t xml:space="preserve">Last Edited: </w:t>
      </w:r>
      <w:r>
        <w:rPr>
          <w:b w:val="false"/>
          <w:bCs w:val="false"/>
        </w:rPr>
        <w:t xml:space="preserve">July 16, 2026 by Toby Flenderson</w:t>
      </w:r>
    </w:p>
    <w:p>
      <w:pPr>
        <w:pStyle w:val="Heading2"/>
        <w:spacing w:after="150" w:before="300"/>
      </w:pPr>
      <w:r>
        <w:t xml:space="preserve">1. Purpose</w:t>
      </w:r>
    </w:p>
    <w:p>
      <w:pPr>
        <w:spacing w:after="150"/>
      </w:pPr>
      <w:r>
        <w:t xml:space="preserve">This policy governs parental (maternity, paternity, and adoption) leave entitlements for DunderMifflin Enterprises employees in the Americas region. Entitlements are set per country to comply with local statutory minimums, with company enhancements applied on top where noted. This document covers the United States, Canada, and Mexico; entitlements do not transfer between countries if an employee relocates mid-leave.</w:t>
      </w:r>
    </w:p>
    <w:p>
      <w:pPr>
        <w:pStyle w:val="Heading2"/>
        <w:spacing w:after="150" w:before="300"/>
      </w:pPr>
      <w:r>
        <w:t xml:space="preserve">2. Country-Wise Leave Entitlements</w:t>
      </w:r>
    </w:p>
    <w:p>
      <w:pPr>
        <w:pStyle w:val="Heading3"/>
        <w:spacing w:after="100" w:before="200"/>
      </w:pPr>
      <w:r>
        <w:t xml:space="preserve">United States</w:t>
      </w:r>
    </w:p>
    <w:p>
      <w:pPr>
        <w:pStyle w:val="ListParagraph"/>
        <w:numPr>
          <w:ilvl w:val="0"/>
          <w:numId w:val="1"/>
        </w:numPr>
        <w:spacing w:after="80"/>
      </w:pPr>
      <w:r>
        <w:t xml:space="preserve">12 weeks job-protected leave (federal FMLA baseline)</w:t>
      </w:r>
    </w:p>
    <w:p>
      <w:pPr>
        <w:pStyle w:val="ListParagraph"/>
        <w:numPr>
          <w:ilvl w:val="0"/>
          <w:numId w:val="1"/>
        </w:numPr>
        <w:spacing w:after="80"/>
      </w:pPr>
      <w:r>
        <w:t xml:space="preserve">Company enhancement: 8 weeks paid at 100% of base salary, followed by 4 weeks unpaid job-protected leave</w:t>
      </w:r>
    </w:p>
    <w:p>
      <w:pPr>
        <w:pStyle w:val="Heading3"/>
        <w:spacing w:after="100" w:before="200"/>
      </w:pPr>
      <w:r>
        <w:t xml:space="preserve">Canada</w:t>
      </w:r>
    </w:p>
    <w:p>
      <w:pPr>
        <w:pStyle w:val="ListParagraph"/>
        <w:numPr>
          <w:ilvl w:val="0"/>
          <w:numId w:val="1"/>
        </w:numPr>
        <w:spacing w:after="80"/>
      </w:pPr>
      <w:r>
        <w:t xml:space="preserve">Up to 17 weeks maternity leave plus 63 weeks parental leave (government EI-backed)</w:t>
      </w:r>
    </w:p>
    <w:p>
      <w:pPr>
        <w:pStyle w:val="ListParagraph"/>
        <w:numPr>
          <w:ilvl w:val="0"/>
          <w:numId w:val="1"/>
        </w:numPr>
        <w:spacing w:after="80"/>
      </w:pPr>
      <w:r>
        <w:t xml:space="preserve">Company tops up government benefit to 80% of base salary for the first 12 weeks</w:t>
      </w:r>
    </w:p>
    <w:p>
      <w:pPr>
        <w:pStyle w:val="Heading3"/>
        <w:spacing w:after="100" w:before="200"/>
      </w:pPr>
      <w:r>
        <w:t xml:space="preserve">Mexico</w:t>
      </w:r>
    </w:p>
    <w:p>
      <w:pPr>
        <w:pStyle w:val="ListParagraph"/>
        <w:numPr>
          <w:ilvl w:val="0"/>
          <w:numId w:val="1"/>
        </w:numPr>
        <w:spacing w:after="80"/>
      </w:pPr>
      <w:r>
        <w:t xml:space="preserve">12 weeks paid maternity leave per federal law (6 weeks pre-birth, 6 weeks post-birth)</w:t>
      </w:r>
    </w:p>
    <w:p>
      <w:pPr>
        <w:pStyle w:val="ListParagraph"/>
        <w:numPr>
          <w:ilvl w:val="0"/>
          <w:numId w:val="1"/>
        </w:numPr>
        <w:spacing w:after="80"/>
      </w:pPr>
      <w:r>
        <w:t xml:space="preserve">Company matches statutory pay in full; no additional top-up applied</w:t>
      </w:r>
    </w:p>
    <w:p>
      <w:pPr>
        <w:pStyle w:val="Heading2"/>
        <w:spacing w:after="150" w:before="300"/>
      </w:pPr>
      <w:r>
        <w:t xml:space="preserve">3. Category-Specific Provisions</w:t>
      </w:r>
    </w:p>
    <w:p>
      <w:pPr>
        <w:pStyle w:val="ListParagraph"/>
        <w:numPr>
          <w:ilvl w:val="0"/>
          <w:numId w:val="1"/>
        </w:numPr>
        <w:spacing w:after="80"/>
      </w:pPr>
      <w:r>
        <w:t xml:space="preserve">Associates and Senior employees: standard entitlement as listed per country, full job protection on return</w:t>
      </w:r>
    </w:p>
    <w:p>
      <w:pPr>
        <w:pStyle w:val="ListParagraph"/>
        <w:numPr>
          <w:ilvl w:val="0"/>
          <w:numId w:val="1"/>
        </w:numPr>
        <w:spacing w:after="80"/>
      </w:pPr>
      <w:r>
        <w:t xml:space="preserve">Executives: same duration as standard entitlement, with an optional staggered return-to-work arrangement (reduced schedule for first 4 weeks) available on request</w:t>
      </w:r>
    </w:p>
    <w:p>
      <w:pPr>
        <w:pStyle w:val="Heading2"/>
        <w:spacing w:after="150" w:before="300"/>
      </w:pPr>
      <w:r>
        <w:t xml:space="preserve">4. Exception Process</w:t>
      </w:r>
    </w:p>
    <w:p>
      <w:pPr>
        <w:spacing w:after="150"/>
      </w:pPr>
      <w:r>
        <w:t xml:space="preserve">Extensions beyond standard entitlement (e.g. for medical complications, multiple births, or adoption-specific circumstances) require written approval from a Vice President and People Operations.</w:t>
      </w:r>
    </w:p>
    <w:p>
      <w:pPr>
        <w:pStyle w:val="ListParagraph"/>
        <w:numPr>
          <w:ilvl w:val="0"/>
          <w:numId w:val="1"/>
        </w:numPr>
        <w:spacing w:after="80"/>
      </w:pPr>
      <w:r>
        <w:t xml:space="preserve">Medical complication extensions: approved by HR upon medical documentation, no VP approval needed</w:t>
      </w:r>
    </w:p>
    <w:p>
      <w:pPr>
        <w:pStyle w:val="ListParagraph"/>
        <w:numPr>
          <w:ilvl w:val="0"/>
          <w:numId w:val="1"/>
        </w:numPr>
        <w:spacing w:after="80"/>
      </w:pPr>
      <w:r>
        <w:t xml:space="preserve">Discretionary extension requests beyond medical need: require VP + People Ops joint approval, logged in the Leave Exceptions Register</w:t>
      </w:r>
    </w:p>
    <w:p>
      <w:pPr>
        <w:pStyle w:val="Heading2"/>
        <w:spacing w:after="150" w:before="300"/>
      </w:pPr>
      <w:r>
        <w:t xml:space="preserve">5. Pay Continuation</w:t>
      </w:r>
    </w:p>
    <w:p>
      <w:pPr>
        <w:pStyle w:val="ListParagraph"/>
        <w:numPr>
          <w:ilvl w:val="0"/>
          <w:numId w:val="1"/>
        </w:numPr>
        <w:spacing w:after="80"/>
      </w:pPr>
      <w:r>
        <w:t xml:space="preserve">Company top-up pay (where noted per country) is calculated on base salary only, excluding bonus and commission</w:t>
      </w:r>
    </w:p>
    <w:p>
      <w:pPr>
        <w:pStyle w:val="ListParagraph"/>
        <w:numPr>
          <w:ilvl w:val="0"/>
          <w:numId w:val="1"/>
        </w:numPr>
        <w:spacing w:after="80"/>
      </w:pPr>
      <w:r>
        <w:t xml:space="preserve">Benefits (health coverage, retirement contributions) continue uninterrupted throughout the leave period</w:t>
      </w:r>
    </w:p>
    <w:p>
      <w:pPr>
        <w:pStyle w:val="Heading2"/>
        <w:spacing w:after="150" w:before="300"/>
      </w:pPr>
      <w:r>
        <w:t xml:space="preserve">6. Questions &amp; Contacts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gridCol w:w="2200"/>
      </w:tblGrid>
      <w:tr>
        <w:tc>
          <w:tcPr>
            <w:tcW w:type="dxa" w:w="3000"/>
            <w:shd w:fill="D9D9D9" w:val="clear"/>
          </w:tcPr>
          <w:p>
            <w:r>
              <w:rPr>
                <w:b/>
                <w:bCs/>
              </w:rPr>
              <w:t xml:space="preserve">Topic</w:t>
            </w:r>
          </w:p>
        </w:tc>
        <w:tc>
          <w:tcPr>
            <w:tcW w:type="dxa" w:w="3000"/>
            <w:shd w:fill="D9D9D9" w:val="clear"/>
          </w:tcPr>
          <w:p>
            <w:r>
              <w:rPr>
                <w:b/>
                <w:bCs/>
              </w:rPr>
              <w:t xml:space="preserve">Contact</w:t>
            </w:r>
          </w:p>
        </w:tc>
        <w:tc>
          <w:tcPr>
            <w:tcW w:type="dxa" w:w="3000"/>
            <w:shd w:fill="D9D9D9" w:val="clear"/>
          </w:tcPr>
          <w:p>
            <w:r>
              <w:rPr>
                <w:b/>
                <w:bCs/>
              </w:rPr>
              <w:t xml:space="preserve">Email</w:t>
            </w:r>
          </w:p>
        </w:tc>
        <w:tc>
          <w:tcPr>
            <w:tcW w:type="dxa" w:w="3000"/>
            <w:shd w:fill="D9D9D9" w:val="clear"/>
          </w:tcPr>
          <w:p>
            <w:r>
              <w:rPr>
                <w:b/>
                <w:bCs/>
              </w:rPr>
              <w:t xml:space="preserve">Phone</w:t>
            </w:r>
          </w:p>
        </w:tc>
      </w:tr>
      <w:tr>
        <w:tc>
          <w:tcPr>
            <w:tcW w:type="dxa" w:w="3000"/>
          </w:tcPr>
          <w:p>
            <w:r>
              <w:t xml:space="preserve">General policy questions</w:t>
            </w:r>
          </w:p>
        </w:tc>
        <w:tc>
          <w:tcPr>
            <w:tcW w:type="dxa" w:w="3200"/>
          </w:tcPr>
          <w:p>
            <w:r>
              <w:t xml:space="preserve">Holly Flax, People Ops</w:t>
            </w:r>
          </w:p>
        </w:tc>
        <w:tc>
          <w:tcPr>
            <w:tcW w:type="dxa" w:w="3200"/>
          </w:tcPr>
          <w:p>
            <w:r>
              <w:t xml:space="preserve">holly.flax@dundermifflin-corp.com</w:t>
            </w:r>
          </w:p>
        </w:tc>
        <w:tc>
          <w:tcPr>
            <w:tcW w:type="dxa" w:w="2200"/>
          </w:tcPr>
          <w:p>
            <w:r>
              <w:t xml:space="preserve">+1 (570) 555-0148</w:t>
            </w:r>
          </w:p>
        </w:tc>
      </w:tr>
      <w:tr>
        <w:tc>
          <w:tcPr>
            <w:tcW w:type="dxa" w:w="3000"/>
          </w:tcPr>
          <w:p>
            <w:r>
              <w:t xml:space="preserve">Exception approvals</w:t>
            </w:r>
          </w:p>
        </w:tc>
        <w:tc>
          <w:tcPr>
            <w:tcW w:type="dxa" w:w="3200"/>
          </w:tcPr>
          <w:p>
            <w:r>
              <w:t xml:space="preserve">Jan Levinson, VP Sales</w:t>
            </w:r>
          </w:p>
        </w:tc>
        <w:tc>
          <w:tcPr>
            <w:tcW w:type="dxa" w:w="3200"/>
          </w:tcPr>
          <w:p>
            <w:r>
              <w:t xml:space="preserve">jan.levinson@dundermifflin-corp.com</w:t>
            </w:r>
          </w:p>
        </w:tc>
        <w:tc>
          <w:tcPr>
            <w:tcW w:type="dxa" w:w="2200"/>
          </w:tcPr>
          <w:p>
            <w:r>
              <w:t xml:space="preserve">+1 (570) 555-0172</w:t>
            </w:r>
          </w:p>
        </w:tc>
      </w:tr>
      <w:tr>
        <w:tc>
          <w:tcPr>
            <w:tcW w:type="dxa" w:w="3000"/>
          </w:tcPr>
          <w:p>
            <w:r>
              <w:t xml:space="preserve">Booking &amp; process issues</w:t>
            </w:r>
          </w:p>
        </w:tc>
        <w:tc>
          <w:tcPr>
            <w:tcW w:type="dxa" w:w="3200"/>
          </w:tcPr>
          <w:p>
            <w:r>
              <w:t xml:space="preserve">Kevin Malone, Accounting</w:t>
            </w:r>
          </w:p>
        </w:tc>
        <w:tc>
          <w:tcPr>
            <w:tcW w:type="dxa" w:w="3200"/>
          </w:tcPr>
          <w:p>
            <w:r>
              <w:t xml:space="preserve">kevin.malone@dundermifflin-corp.com</w:t>
            </w:r>
          </w:p>
        </w:tc>
        <w:tc>
          <w:tcPr>
            <w:tcW w:type="dxa" w:w="2200"/>
          </w:tcPr>
          <w:p>
            <w:r>
              <w:t xml:space="preserve">+1 (570) 555-0193</w:t>
            </w:r>
          </w:p>
        </w:tc>
      </w:tr>
      <w:tr>
        <w:tc>
          <w:tcPr>
            <w:tcW w:type="dxa" w:w="3000"/>
          </w:tcPr>
          <w:p>
            <w:r>
              <w:t xml:space="preserve">Escalations</w:t>
            </w:r>
          </w:p>
        </w:tc>
        <w:tc>
          <w:tcPr>
            <w:tcW w:type="dxa" w:w="3200"/>
          </w:tcPr>
          <w:p>
            <w:r>
              <w:t xml:space="preserve">Robert California, CFO</w:t>
            </w:r>
          </w:p>
        </w:tc>
        <w:tc>
          <w:tcPr>
            <w:tcW w:type="dxa" w:w="3200"/>
          </w:tcPr>
          <w:p>
            <w:r>
              <w:t xml:space="preserve">robert.california@dundermifflin-corp.com</w:t>
            </w:r>
          </w:p>
        </w:tc>
        <w:tc>
          <w:tcPr>
            <w:tcW w:type="dxa" w:w="2200"/>
          </w:tcPr>
          <w:p>
            <w:r>
              <w:t xml:space="preserve">+1 (570) 555-0101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2026-08-03T11:22:41.582Z</dcterms:created>
  <dcterms:modified xsi:type="dcterms:W3CDTF">2026-08-03T11:22:41.582Z</dcterms:modified>
</cp:coreProperties>
</file>

<file path=docProps/custom.xml><?xml version="1.0" encoding="utf-8"?>
<Properties xmlns="http://schemas.openxmlformats.org/officeDocument/2006/custom-properties" xmlns:vt="http://schemas.openxmlformats.org/officeDocument/2006/docPropsVTypes"/>
</file>