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DunderMifflin Enterprises</w:t>
      </w:r>
    </w:p>
    <w:p>
      <w:pPr>
        <w:pStyle w:val="Heading1"/>
        <w:spacing w:after="200"/>
      </w:pPr>
      <w:r>
        <w:t xml:space="preserve">Global Parental Leave Policy — Europe Region</w:t>
      </w:r>
    </w:p>
    <w:p>
      <w:pPr>
        <w:spacing w:after="60"/>
      </w:pPr>
      <w:r>
        <w:rPr>
          <w:b/>
          <w:bCs/>
          <w:color w:val="C00000"/>
        </w:rPr>
        <w:t xml:space="preserve">SCOPE: </w:t>
      </w:r>
      <w:r>
        <w:rPr>
          <w:b/>
          <w:bCs/>
          <w:color w:val="C00000"/>
        </w:rPr>
        <w:t xml:space="preserve">Zone=Europe | Sensitivity=General | Min-Role=Associate</w:t>
      </w:r>
    </w:p>
    <w:p>
      <w:pPr>
        <w:spacing w:after="60"/>
      </w:pPr>
      <w:r>
        <w:rPr>
          <w:b/>
          <w:bCs/>
        </w:rPr>
        <w:t xml:space="preserve">Effective Region: </w:t>
      </w:r>
      <w:r>
        <w:rPr>
          <w:b w:val="false"/>
          <w:bCs w:val="false"/>
        </w:rPr>
        <w:t xml:space="preserve">United Kingdom, Germany, France, Netherlands</w:t>
      </w:r>
    </w:p>
    <w:p>
      <w:pPr>
        <w:spacing w:after="60"/>
      </w:pPr>
      <w:r>
        <w:rPr>
          <w:b/>
          <w:bCs/>
        </w:rPr>
        <w:t xml:space="preserve">Document Owner: </w:t>
      </w:r>
      <w:r>
        <w:rPr>
          <w:b w:val="false"/>
          <w:bCs w:val="false"/>
        </w:rPr>
        <w:t xml:space="preserve">People Operations</w:t>
      </w:r>
    </w:p>
    <w:p>
      <w:pPr>
        <w:spacing w:after="60"/>
      </w:pPr>
      <w:r>
        <w:rPr>
          <w:b/>
          <w:bCs/>
        </w:rPr>
        <w:t xml:space="preserve">Category Coverage: </w:t>
      </w:r>
      <w:r>
        <w:rPr>
          <w:b w:val="false"/>
          <w:bCs w:val="false"/>
        </w:rPr>
        <w:t xml:space="preserve">Associates, Senior, Executive</w:t>
      </w:r>
    </w:p>
    <w:p>
      <w:pPr>
        <w:spacing w:after="60"/>
      </w:pPr>
      <w:r>
        <w:rPr>
          <w:b/>
          <w:bCs/>
        </w:rPr>
        <w:t xml:space="preserve">Author: </w:t>
      </w:r>
      <w:r>
        <w:rPr>
          <w:b w:val="false"/>
          <w:bCs w:val="false"/>
        </w:rPr>
        <w:t xml:space="preserve">Pam Beesly, People Operations Europe</w:t>
      </w:r>
    </w:p>
    <w:p>
      <w:pPr>
        <w:spacing w:after="60"/>
      </w:pPr>
      <w:r>
        <w:rPr>
          <w:b/>
          <w:bCs/>
        </w:rPr>
        <w:t xml:space="preserve">Last Edited: </w:t>
      </w:r>
      <w:r>
        <w:rPr>
          <w:b w:val="false"/>
          <w:bCs w:val="false"/>
        </w:rPr>
        <w:t xml:space="preserve">July 23, 2026 by Andy Bernard</w:t>
      </w:r>
    </w:p>
    <w:p>
      <w:pPr>
        <w:pStyle w:val="Heading2"/>
        <w:spacing w:after="150" w:before="300"/>
      </w:pPr>
      <w:r>
        <w:t xml:space="preserve">1. Purpose</w:t>
      </w:r>
    </w:p>
    <w:p>
      <w:pPr>
        <w:spacing w:after="150"/>
      </w:pPr>
      <w:r>
        <w:t xml:space="preserve">This policy governs parental (maternity, paternity, and adoption) leave entitlements for DunderMifflin Enterprises employees in the Europe region. Entitlements are set per country to comply with local statutory minimums, with company enhancements applied on top where noted. This document covers the United Kingdom, Germany, France, and the Netherlands; entitlements do not transfer between countries if an employee relocates mid-leave.</w:t>
      </w:r>
    </w:p>
    <w:p>
      <w:pPr>
        <w:pStyle w:val="Heading2"/>
        <w:spacing w:after="150" w:before="300"/>
      </w:pPr>
      <w:r>
        <w:t xml:space="preserve">2. Country-Wise Leave Entitlements</w:t>
      </w:r>
    </w:p>
    <w:p>
      <w:pPr>
        <w:pStyle w:val="Heading3"/>
        <w:spacing w:after="100" w:before="200"/>
      </w:pPr>
      <w:r>
        <w:t xml:space="preserve">United Kingdom</w:t>
      </w:r>
    </w:p>
    <w:p>
      <w:pPr>
        <w:pStyle w:val="ListParagraph"/>
        <w:numPr>
          <w:ilvl w:val="0"/>
          <w:numId w:val="1"/>
        </w:numPr>
        <w:spacing w:after="80"/>
      </w:pPr>
      <w:r>
        <w:t xml:space="preserve">52 weeks statutory maternity leave; first 6 weeks at 90% pay, next 33 weeks at statutory rate</w:t>
      </w:r>
    </w:p>
    <w:p>
      <w:pPr>
        <w:pStyle w:val="ListParagraph"/>
        <w:numPr>
          <w:ilvl w:val="0"/>
          <w:numId w:val="1"/>
        </w:numPr>
        <w:spacing w:after="80"/>
      </w:pPr>
      <w:r>
        <w:t xml:space="preserve">Company enhancement: pay raised to 100% of base salary for the first 12 weeks</w:t>
      </w:r>
    </w:p>
    <w:p>
      <w:pPr>
        <w:pStyle w:val="ListParagraph"/>
        <w:numPr>
          <w:ilvl w:val="0"/>
          <w:numId w:val="1"/>
        </w:numPr>
        <w:spacing w:after="80"/>
      </w:pPr>
      <w:r>
        <w:t xml:space="preserve">Paternity leave: 2 weeks, statutory pay</w:t>
      </w:r>
    </w:p>
    <w:p>
      <w:pPr>
        <w:pStyle w:val="Heading3"/>
        <w:spacing w:after="100" w:before="200"/>
      </w:pPr>
      <w:r>
        <w:t xml:space="preserve">Germany</w:t>
      </w:r>
    </w:p>
    <w:p>
      <w:pPr>
        <w:pStyle w:val="ListParagraph"/>
        <w:numPr>
          <w:ilvl w:val="0"/>
          <w:numId w:val="1"/>
        </w:numPr>
        <w:spacing w:after="80"/>
      </w:pPr>
      <w:r>
        <w:t xml:space="preserve">14 weeks Mutterschutz (maternity protection) at full pay, plus Elternzeit available up to 3 years (partial pay via Elterngeld)</w:t>
      </w:r>
    </w:p>
    <w:p>
      <w:pPr>
        <w:pStyle w:val="ListParagraph"/>
        <w:numPr>
          <w:ilvl w:val="0"/>
          <w:numId w:val="1"/>
        </w:numPr>
        <w:spacing w:after="80"/>
      </w:pPr>
      <w:r>
        <w:t xml:space="preserve">Company tops up the first 8 weeks to 100% of base salary</w:t>
      </w:r>
    </w:p>
    <w:p>
      <w:pPr>
        <w:pStyle w:val="Heading3"/>
        <w:spacing w:after="100" w:before="200"/>
      </w:pPr>
      <w:r>
        <w:t xml:space="preserve">France</w:t>
      </w:r>
    </w:p>
    <w:p>
      <w:pPr>
        <w:pStyle w:val="ListParagraph"/>
        <w:numPr>
          <w:ilvl w:val="0"/>
          <w:numId w:val="1"/>
        </w:numPr>
        <w:spacing w:after="80"/>
      </w:pPr>
      <w:r>
        <w:t xml:space="preserve">16 weeks maternity leave paid via social security</w:t>
      </w:r>
    </w:p>
    <w:p>
      <w:pPr>
        <w:pStyle w:val="ListParagraph"/>
        <w:numPr>
          <w:ilvl w:val="0"/>
          <w:numId w:val="1"/>
        </w:numPr>
        <w:spacing w:after="80"/>
      </w:pPr>
      <w:r>
        <w:t xml:space="preserve">Company tops up to 100% of base salary for the first 10 weeks</w:t>
      </w:r>
    </w:p>
    <w:p>
      <w:pPr>
        <w:pStyle w:val="ListParagraph"/>
        <w:numPr>
          <w:ilvl w:val="0"/>
          <w:numId w:val="1"/>
        </w:numPr>
        <w:spacing w:after="80"/>
      </w:pPr>
      <w:r>
        <w:t xml:space="preserve">Paternity leave: 28 days, statutory</w:t>
      </w:r>
    </w:p>
    <w:p>
      <w:pPr>
        <w:pStyle w:val="Heading3"/>
        <w:spacing w:after="100" w:before="200"/>
      </w:pPr>
      <w:r>
        <w:t xml:space="preserve">Netherlands</w:t>
      </w:r>
    </w:p>
    <w:p>
      <w:pPr>
        <w:pStyle w:val="ListParagraph"/>
        <w:numPr>
          <w:ilvl w:val="0"/>
          <w:numId w:val="1"/>
        </w:numPr>
        <w:spacing w:after="80"/>
      </w:pPr>
      <w:r>
        <w:t xml:space="preserve">16 weeks maternity leave, fully paid</w:t>
      </w:r>
    </w:p>
    <w:p>
      <w:pPr>
        <w:pStyle w:val="ListParagraph"/>
        <w:numPr>
          <w:ilvl w:val="0"/>
          <w:numId w:val="1"/>
        </w:numPr>
        <w:spacing w:after="80"/>
      </w:pPr>
      <w:r>
        <w:t xml:space="preserve">Partner leave: 6 weeks, first week full pay, remaining weeks at 70% pay</w:t>
      </w:r>
    </w:p>
    <w:p>
      <w:pPr>
        <w:pStyle w:val="Heading2"/>
        <w:spacing w:after="150" w:before="300"/>
      </w:pPr>
      <w:r>
        <w:t xml:space="preserve">3. Category-Specific Provisions</w:t>
      </w:r>
    </w:p>
    <w:p>
      <w:pPr>
        <w:pStyle w:val="ListParagraph"/>
        <w:numPr>
          <w:ilvl w:val="0"/>
          <w:numId w:val="1"/>
        </w:numPr>
        <w:spacing w:after="80"/>
      </w:pPr>
      <w:r>
        <w:t xml:space="preserve">Associates and Senior employees: standard entitlement as listed per country, full job protection on return</w:t>
      </w:r>
    </w:p>
    <w:p>
      <w:pPr>
        <w:pStyle w:val="ListParagraph"/>
        <w:numPr>
          <w:ilvl w:val="0"/>
          <w:numId w:val="1"/>
        </w:numPr>
        <w:spacing w:after="80"/>
      </w:pPr>
      <w:r>
        <w:t xml:space="preserve">Executives: same duration as standard entitlement, with an optional staggered return-to-work arrangement (reduced schedule for first 4 weeks) available on request</w:t>
      </w:r>
    </w:p>
    <w:p>
      <w:pPr>
        <w:pStyle w:val="Heading2"/>
        <w:spacing w:after="150" w:before="300"/>
      </w:pPr>
      <w:r>
        <w:t xml:space="preserve">4. Exception Process</w:t>
      </w:r>
    </w:p>
    <w:p>
      <w:pPr>
        <w:spacing w:after="150"/>
      </w:pPr>
      <w:r>
        <w:t xml:space="preserve">Extensions beyond standard entitlement (e.g. for medical complications, multiple births, or adoption-specific circumstances) require written approval from a Vice President and People Operations.</w:t>
      </w:r>
    </w:p>
    <w:p>
      <w:pPr>
        <w:pStyle w:val="ListParagraph"/>
        <w:numPr>
          <w:ilvl w:val="0"/>
          <w:numId w:val="1"/>
        </w:numPr>
        <w:spacing w:after="80"/>
      </w:pPr>
      <w:r>
        <w:t xml:space="preserve">Medical complication extensions: approved by HR upon medical documentation, no VP approval needed</w:t>
      </w:r>
    </w:p>
    <w:p>
      <w:pPr>
        <w:pStyle w:val="ListParagraph"/>
        <w:numPr>
          <w:ilvl w:val="0"/>
          <w:numId w:val="1"/>
        </w:numPr>
        <w:spacing w:after="80"/>
      </w:pPr>
      <w:r>
        <w:t xml:space="preserve">Discretionary extension requests beyond medical need: require VP + People Ops joint approval, logged in the Leave Exceptions Register</w:t>
      </w:r>
    </w:p>
    <w:p>
      <w:pPr>
        <w:pStyle w:val="Heading2"/>
        <w:spacing w:after="150" w:before="300"/>
      </w:pPr>
      <w:r>
        <w:t xml:space="preserve">5. Pay Continuation</w:t>
      </w:r>
    </w:p>
    <w:p>
      <w:pPr>
        <w:pStyle w:val="ListParagraph"/>
        <w:numPr>
          <w:ilvl w:val="0"/>
          <w:numId w:val="1"/>
        </w:numPr>
        <w:spacing w:after="80"/>
      </w:pPr>
      <w:r>
        <w:t xml:space="preserve">Company top-up pay (where noted per country) is calculated on base salary only, excluding bonus and commission</w:t>
      </w:r>
    </w:p>
    <w:p>
      <w:pPr>
        <w:pStyle w:val="ListParagraph"/>
        <w:numPr>
          <w:ilvl w:val="0"/>
          <w:numId w:val="1"/>
        </w:numPr>
        <w:spacing w:after="80"/>
      </w:pPr>
      <w:r>
        <w:t xml:space="preserve">Benefits (health coverage, retirement contributions) continue uninterrupted throughout the leave period</w:t>
      </w:r>
    </w:p>
    <w:p>
      <w:pPr>
        <w:pStyle w:val="Heading2"/>
        <w:spacing w:after="150" w:before="300"/>
      </w:pPr>
      <w:r>
        <w:t xml:space="preserve">6. Questions &amp; Contacts</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200"/>
        <w:gridCol w:w="2200"/>
      </w:tblGrid>
      <w:tr>
        <w:tc>
          <w:tcPr>
            <w:tcW w:type="dxa" w:w="3000"/>
            <w:shd w:fill="D9D9D9" w:val="clear"/>
          </w:tcPr>
          <w:p>
            <w:r>
              <w:rPr>
                <w:b/>
                <w:bCs/>
              </w:rPr>
              <w:t xml:space="preserve">Topic</w:t>
            </w:r>
          </w:p>
        </w:tc>
        <w:tc>
          <w:tcPr>
            <w:tcW w:type="dxa" w:w="3000"/>
            <w:shd w:fill="D9D9D9" w:val="clear"/>
          </w:tcPr>
          <w:p>
            <w:r>
              <w:rPr>
                <w:b/>
                <w:bCs/>
              </w:rPr>
              <w:t xml:space="preserve">Contact</w:t>
            </w:r>
          </w:p>
        </w:tc>
        <w:tc>
          <w:tcPr>
            <w:tcW w:type="dxa" w:w="3000"/>
            <w:shd w:fill="D9D9D9" w:val="clear"/>
          </w:tcPr>
          <w:p>
            <w:r>
              <w:rPr>
                <w:b/>
                <w:bCs/>
              </w:rPr>
              <w:t xml:space="preserve">Email</w:t>
            </w:r>
          </w:p>
        </w:tc>
        <w:tc>
          <w:tcPr>
            <w:tcW w:type="dxa" w:w="3000"/>
            <w:shd w:fill="D9D9D9" w:val="clear"/>
          </w:tcPr>
          <w:p>
            <w:r>
              <w:rPr>
                <w:b/>
                <w:bCs/>
              </w:rPr>
              <w:t xml:space="preserve">Phone</w:t>
            </w:r>
          </w:p>
        </w:tc>
      </w:tr>
      <w:tr>
        <w:tc>
          <w:tcPr>
            <w:tcW w:type="dxa" w:w="3000"/>
          </w:tcPr>
          <w:p>
            <w:r>
              <w:t xml:space="preserve">General policy questions</w:t>
            </w:r>
          </w:p>
        </w:tc>
        <w:tc>
          <w:tcPr>
            <w:tcW w:type="dxa" w:w="3200"/>
          </w:tcPr>
          <w:p>
            <w:r>
              <w:t xml:space="preserve">Pam Beesly, People Ops Europe</w:t>
            </w:r>
          </w:p>
        </w:tc>
        <w:tc>
          <w:tcPr>
            <w:tcW w:type="dxa" w:w="3200"/>
          </w:tcPr>
          <w:p>
            <w:r>
              <w:t xml:space="preserve">pam.beesly@dundermifflin-corp.com</w:t>
            </w:r>
          </w:p>
        </w:tc>
        <w:tc>
          <w:tcPr>
            <w:tcW w:type="dxa" w:w="2200"/>
          </w:tcPr>
          <w:p>
            <w:r>
              <w:t xml:space="preserve">+44 20 7946 0148</w:t>
            </w:r>
          </w:p>
        </w:tc>
      </w:tr>
      <w:tr>
        <w:tc>
          <w:tcPr>
            <w:tcW w:type="dxa" w:w="3000"/>
          </w:tcPr>
          <w:p>
            <w:r>
              <w:t xml:space="preserve">Exception approvals</w:t>
            </w:r>
          </w:p>
        </w:tc>
        <w:tc>
          <w:tcPr>
            <w:tcW w:type="dxa" w:w="3200"/>
          </w:tcPr>
          <w:p>
            <w:r>
              <w:t xml:space="preserve">Andy Bernard, VP Europe</w:t>
            </w:r>
          </w:p>
        </w:tc>
        <w:tc>
          <w:tcPr>
            <w:tcW w:type="dxa" w:w="3200"/>
          </w:tcPr>
          <w:p>
            <w:r>
              <w:t xml:space="preserve">andy.bernard@dundermifflin-corp.com</w:t>
            </w:r>
          </w:p>
        </w:tc>
        <w:tc>
          <w:tcPr>
            <w:tcW w:type="dxa" w:w="2200"/>
          </w:tcPr>
          <w:p>
            <w:r>
              <w:t xml:space="preserve">+44 20 7946 0172</w:t>
            </w:r>
          </w:p>
        </w:tc>
      </w:tr>
      <w:tr>
        <w:tc>
          <w:tcPr>
            <w:tcW w:type="dxa" w:w="3000"/>
          </w:tcPr>
          <w:p>
            <w:r>
              <w:t xml:space="preserve">Booking &amp; process issues</w:t>
            </w:r>
          </w:p>
        </w:tc>
        <w:tc>
          <w:tcPr>
            <w:tcW w:type="dxa" w:w="3200"/>
          </w:tcPr>
          <w:p>
            <w:r>
              <w:t xml:space="preserve">Meredith Palmer, Accounting Europe</w:t>
            </w:r>
          </w:p>
        </w:tc>
        <w:tc>
          <w:tcPr>
            <w:tcW w:type="dxa" w:w="3200"/>
          </w:tcPr>
          <w:p>
            <w:r>
              <w:t xml:space="preserve">meredith.palmer@dundermifflin-corp.com</w:t>
            </w:r>
          </w:p>
        </w:tc>
        <w:tc>
          <w:tcPr>
            <w:tcW w:type="dxa" w:w="2200"/>
          </w:tcPr>
          <w:p>
            <w:r>
              <w:t xml:space="preserve">+44 20 7946 0193</w:t>
            </w:r>
          </w:p>
        </w:tc>
      </w:tr>
      <w:tr>
        <w:tc>
          <w:tcPr>
            <w:tcW w:type="dxa" w:w="3000"/>
          </w:tcPr>
          <w:p>
            <w:r>
              <w:t xml:space="preserve">Escalations</w:t>
            </w:r>
          </w:p>
        </w:tc>
        <w:tc>
          <w:tcPr>
            <w:tcW w:type="dxa" w:w="3200"/>
          </w:tcPr>
          <w:p>
            <w:r>
              <w:t xml:space="preserve">Robert California, CFO</w:t>
            </w:r>
          </w:p>
        </w:tc>
        <w:tc>
          <w:tcPr>
            <w:tcW w:type="dxa" w:w="3200"/>
          </w:tcPr>
          <w:p>
            <w:r>
              <w:t xml:space="preserve">robert.california@dundermifflin-corp.com</w:t>
            </w:r>
          </w:p>
        </w:tc>
        <w:tc>
          <w:tcPr>
            <w:tcW w:type="dxa" w:w="2200"/>
          </w:tcPr>
          <w:p>
            <w:r>
              <w:t xml:space="preserve">+1 (570) 555-0101</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2026-08-03T11:22:41.663Z</dcterms:created>
  <dcterms:modified xsi:type="dcterms:W3CDTF">2026-08-03T11:22:41.663Z</dcterms:modified>
</cp:coreProperties>
</file>

<file path=docProps/custom.xml><?xml version="1.0" encoding="utf-8"?>
<Properties xmlns="http://schemas.openxmlformats.org/officeDocument/2006/custom-properties" xmlns:vt="http://schemas.openxmlformats.org/officeDocument/2006/docPropsVTypes"/>
</file>