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38"/>
          <w:szCs w:val="38"/>
        </w:rPr>
        <w:t xml:space="preserve">SOVEREIGN OPTIMIZATION PLATFORM — MASTER ROADMAP</w:t>
      </w:r>
    </w:p>
    <w:p>
      <w:pPr>
        <w:spacing w:after="40"/>
      </w:pPr>
      <w:r>
        <w:rPr>
          <w:i/>
          <w:iCs/>
          <w:color w:val="595959"/>
          <w:sz w:val="22"/>
          <w:szCs w:val="22"/>
        </w:rPr>
        <w:t xml:space="preserve">Every gap found across strategic, mathematical, systems/legal and MVP-code review — 121 items, one by one, none skipped</w:t>
      </w:r>
    </w:p>
    <w:p>
      <w:pPr>
        <w:spacing w:after="40"/>
      </w:pPr>
      <w:r>
        <w:rPr>
          <w:b/>
          <w:bCs/>
          <w:color w:val="1F4E79"/>
          <w:i/>
          <w:iCs/>
          <w:sz w:val="22"/>
          <w:szCs w:val="22"/>
        </w:rPr>
        <w:t xml:space="preserve">Updated 29 September 2026 with the build status of every item (software build v0.2.0). </w:t>
      </w:r>
      <w:r>
        <w:rPr>
          <w:i/>
          <w:iCs/>
          <w:sz w:val="22"/>
          <w:szCs w:val="22"/>
        </w:rPr>
        <w:t xml:space="preserve">Summary of all 121 items: FIXED 75 · DONE (v0.1) 6 · PARTIAL 14 · GPU-LAPTOP 12 · DEFERRED 8 · NON-CODE 6. The new right-hand column gives each item's status and the evidence in one line; the Build Reconciliation section at the end explains what changed, what still needs the GPU laptop, and what was deliberately deferred.</w:t>
      </w:r>
    </w:p>
    <w:p>
      <w:pPr>
        <w:spacing w:after="260"/>
      </w:pPr>
      <w:r>
        <w:rPr>
          <w:color w:val="595959"/>
          <w:sz w:val="17"/>
          <w:szCs w:val="17"/>
        </w:rPr>
        <w:t xml:space="preserve">Part I (items 1-20) consolidates the strategic, mathematical-rigor and systems/legal review rounds. Part II (items 21-121) is the MVP engineering gap audit, based on the repository's file listing and README.md (not a line-by-line code read) — treat it as a verification checklist for the team, not a certified third-party audit.</w:t>
      </w:r>
    </w:p>
    <w:p>
      <w:pPr>
        <w:pBdr>
          <w:left w:val="single" w:color="2E7D32" w:sz="12" w:space="8"/>
        </w:pBdr>
        <w:spacing w:after="160" w:before="80"/>
      </w:pPr>
      <w:r>
        <w:rPr>
          <w:i/>
          <w:iCs/>
          <w:color w:val="2E7D32"/>
        </w:rPr>
        <w:t xml:space="preserve">✓ Genuinely strong starting point: presolve/postsolve, LMS cold-start, SMW warm-start, RHS-elastic infeasibility repair, a real verification gate, and a hash-chained audit log are all actually implemented and covered by 77 tests. This roadmap is about hardening that base for pilot/Series-A scrutiny, not rebuilding it.</w:t>
      </w:r>
    </w:p>
    <w:p>
      <w:pPr>
        <w:pStyle w:val="Heading1"/>
        <w:spacing w:after="140" w:before="360"/>
      </w:pPr>
      <w:r>
        <w:t xml:space="preserve">Part I — Strategic, Mathematical &amp; Systems/Legal Gaps (1-20)</w:t>
      </w:r>
    </w:p>
    <w:p>
      <w:pPr>
        <w:pStyle w:val="Heading2"/>
        <w:spacing w:after="100" w:before="220"/>
      </w:pPr>
      <w:r>
        <w:t xml:space="preserve">A0. Strategic Positioning &amp; Business (1-8)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2500"/>
        <w:gridCol w:w="1050"/>
        <w:gridCol w:w="950"/>
        <w:gridCol w:w="2790"/>
      </w:tblGrid>
      <w:t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0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GPU laptop?</w:t>
            </w:r>
          </w:p>
        </w:tc>
        <w:tc>
          <w:tcPr>
            <w:tcW w:type="dxa" w:w="9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7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Build status (v0.2.0)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"Sovereign" positioning built entirely on NVIDIA's proprietary CUDA/cuSPARSE/cuSOLVER/NCCL/TensorRT stack — hardware dependency undermines the sovereignty claim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Adopt an explicit 3-tier claim: Tier 1 IP/Data sovereignty (true today), Tier 2 Deployment sovereignty (true today), Tier 3 Compute sovereignty (roadmap) — commit R&amp;D to a CPU/AVX-512 fallback + evaluate indigenous/allied accelerators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N/A — positioning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Strategic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DONE (v0.1)</w:t>
            </w:r>
            <w:r>
              <w:rPr>
                <w:sz w:val="17"/>
                <w:szCs w:val="17"/>
              </w:rPr>
              <w:t xml:space="preserve"> — The 3-tier claim is shown in the product (Sovereignty tab)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competitive analysis vs NVIDIA cuOpt (free, open-source GPU LP/MIP) or Gurobi 13's native GPU mode (PDHG via the cuOpt engine)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Build an explicit competitive-moat table; position on air-gapped deployment, explainability and NL-to-constraint auditability, not raw speed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N/A — positioning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Strategic</w:t>
            </w:r>
          </w:p>
        </w:tc>
        <w:tc>
          <w:tcPr>
            <w:tcW w:type="dxa" w:w="2790"/>
            <w:shd w:fill="EAE4F2" w:val="clear"/>
          </w:tcPr>
          <w:p>
            <w:r>
              <w:rPr>
                <w:b/>
                <w:bCs/>
                <w:color w:val="4B2E83"/>
                <w:sz w:val="17"/>
                <w:szCs w:val="17"/>
              </w:rPr>
              <w:t xml:space="preserve">NON-CODE</w:t>
            </w:r>
            <w:r>
              <w:rPr>
                <w:sz w:val="17"/>
                <w:szCs w:val="17"/>
              </w:rPr>
              <w:t xml:space="preserve"> — Roadmap Sec. 3 table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Benchmark only compared against HiGHS (weak, single-thread CPU) instead of the actual incumbents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Mandatory three-lane fair benchmark — HiGHS, Gurobi CPU multithreaded, Gurobi GPU — always shown together, with an honest reframing line whenever a GPU incumbent wins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 — needs real GPU + Gurobi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1-2 days</w:t>
            </w:r>
          </w:p>
        </w:tc>
        <w:tc>
          <w:tcPr>
            <w:tcW w:type="dxa" w:w="2790"/>
            <w:shd w:fill="DDEBF7" w:val="clea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DONE + GPU-LAPTOP</w:t>
            </w:r>
            <w:r>
              <w:rPr>
                <w:sz w:val="17"/>
                <w:szCs w:val="17"/>
              </w:rPr>
              <w:t xml:space="preserve"> — All three lanes are always shown, with a legend for non-technical viewers (#89)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MVP scope was LP-only while the real refinery problem (unit on/off decisions) is Mixed-Integer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Pull a lightweight heuristic Branch-and-Bound + rounding layer into the MVP itself; keep GNN-guided pruning as Phase-2 only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Already in MVP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B&amp;B now has an HSD fallback per node, never prunes a numerically failed node, uses a deterministic tie-break and records…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NL-to-constraint LLM compiler had no safeguard against hallucinated/misparsed safety-critical constraints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5-step verification gate: LLM restatement, symbolic validation, confidence scoring, mandatory human sign-off on safety-tagged variables, immutable audit log, shadow-mode rollout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Already in MVP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v0.1 gate plus supervisor-only safety sign-off, a 5 s undo window, red-team set,…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Zero business model, pricing, or customer validation anywhere in the pitch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Three-tier pricing (Advisory Add-on / Full Platform / Sovereign Air-Gapped); private-refiner beachhead before PSU tenders; explicit LOI/pilot validation asks before the next pitch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N/A — business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Ongoing</w:t>
            </w:r>
          </w:p>
        </w:tc>
        <w:tc>
          <w:tcPr>
            <w:tcW w:type="dxa" w:w="2790"/>
            <w:shd w:fill="EAE4F2" w:val="clear"/>
          </w:tcPr>
          <w:p>
            <w:r>
              <w:rPr>
                <w:b/>
                <w:bCs/>
                <w:color w:val="4B2E83"/>
                <w:sz w:val="17"/>
                <w:szCs w:val="17"/>
              </w:rPr>
              <w:t xml:space="preserve">NON-CODE</w:t>
            </w:r>
            <w:r>
              <w:rPr>
                <w:sz w:val="17"/>
                <w:szCs w:val="17"/>
              </w:rPr>
              <w:t xml:space="preserve"> — Roadmap Sec. 7.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certification/compliance pathway for a safety-adjacent decision-support tool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Phased roadmap: advisory-only at MVP (sidesteps SIL/IEC 61511), shadow-mode validation at pilot, formal IEC 61511 alignment before any control-loop integration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N/A — compliance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Phase-2+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DONE (v0.1) + NON-CODE</w:t>
            </w:r>
            <w:r>
              <w:rPr>
                <w:sz w:val="17"/>
                <w:szCs w:val="17"/>
              </w:rPr>
              <w:t xml:space="preserve"> — The product is advisory-only (no control-loop output) and shadow mode is on by default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3-4 week MVP scope (mixed-precision IPM + B&amp;B + warm-start + telemetry + NL compiler) was numerically unrealistic without a named CUDA/HPC-experienced team member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Resourced week-by-week plan with named skill roles; explicit CPU-first fallback if no CUDA expert is on the team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Planning</w:t>
            </w:r>
          </w:p>
        </w:tc>
        <w:tc>
          <w:tcPr>
            <w:tcW w:type="dxa" w:w="2790"/>
            <w:shd w:fill="EAE4F2" w:val="clear"/>
          </w:tcPr>
          <w:p>
            <w:r>
              <w:rPr>
                <w:b/>
                <w:bCs/>
                <w:color w:val="4B2E83"/>
                <w:sz w:val="17"/>
                <w:szCs w:val="17"/>
              </w:rPr>
              <w:t xml:space="preserve">NON-CODE</w:t>
            </w:r>
            <w:r>
              <w:rPr>
                <w:sz w:val="17"/>
                <w:szCs w:val="17"/>
              </w:rPr>
              <w:t xml:space="preserve"> — Planning item.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t xml:space="preserve">A0. Mathematical &amp; Numerical Rigor (9-13)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2500"/>
        <w:gridCol w:w="1050"/>
        <w:gridCol w:w="950"/>
        <w:gridCol w:w="2790"/>
      </w:tblGrid>
      <w:t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0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GPU laptop?</w:t>
            </w:r>
          </w:p>
        </w:tc>
        <w:tc>
          <w:tcPr>
            <w:tcW w:type="dxa" w:w="9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7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Build status (v0.2.0)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Postsolve/de-scaling pipeline documented — Ruiz-scaled GPU output can't be mapped back to real refinery units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Explicit postsolve block: x*=D_c·x̃*, y*=D_r·ỹ*, s*=D_c⁻¹·s̃*, plus presolve column/row re-inflation in the correct order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Already in MVP (presolve.py)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v0.1 order kept, plus singleton-row duals restored in postsolve (matches HiGHS to 1e-8).…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Claimed FP8 tensor-core execution for IPM central-path iterations — numerically indefensible given Θ's dynamic range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Reframe precision architecture: TF32/FP16 only for SpGEMM assembly, FP32 minimum for Cholesky, FP64 iterative refinement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Already in MVP (linalg.py)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DONE (v0.1)</w:t>
            </w:r>
            <w:r>
              <w:rPr>
                <w:sz w:val="17"/>
                <w:szCs w:val="17"/>
              </w:rPr>
              <w:t xml:space="preserve"> — FP32-minimum factorization with FP64 refinement. test_mixed_precision_refinement_is_fp64_accurate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published Netlib ground-truth values included for on-screen benchmark validation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Pull FIT2P/STAIR/ISRAEL reference optima live from Netlib's own readme at run time — never hand-type; sign/MAX conventions are easy to get wrong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Already in MVP (mps.py)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DONE (v0.1)</w:t>
            </w:r>
            <w:r>
              <w:rPr>
                <w:sz w:val="17"/>
                <w:szCs w:val="17"/>
              </w:rPr>
              <w:t xml:space="preserve"> — Reference values are parsed from Netlib's readme ("Load Netlib readme…" button)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cold-start initialization heuristic specified — IPM diverges without a strictly interior starting point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Implement the Lustig-Marsten-Shanno (LMS) starting-point heuristic explicitly (least-norm point + interior shift + centering correction)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Already in MVP (ipm.lms_start)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DONE (v0.1)</w:t>
            </w:r>
            <w:r>
              <w:rPr>
                <w:sz w:val="17"/>
                <w:szCs w:val="17"/>
              </w:rPr>
              <w:t xml:space="preserve"> — test_lms_start_is_strictly_interior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GTM only mentioned generic Docker/Kubernetes, missing the CVC (Central Vigilance Commission) constraint blocking PSUs from cloud-connected SaaS tools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Explicit 100% on-premise, air-gapped Helm-chart distribution with zero outbound telemetry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N/A — GTM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1-2 days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deploy/helm/sovereign-optimizer has an egress-deny NetworkPolicy (only cluster DNS), a non-root read-only pod, a PVC, TLS…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t xml:space="preserve">A0. Systems Reliability, IP/Legal &amp; Commercial (14-20)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2500"/>
        <w:gridCol w:w="1050"/>
        <w:gridCol w:w="950"/>
        <w:gridCol w:w="2790"/>
      </w:tblGrid>
      <w:t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0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GPU laptop?</w:t>
            </w:r>
          </w:p>
        </w:tc>
        <w:tc>
          <w:tcPr>
            <w:tcW w:type="dxa" w:w="9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7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Build status (v0.2.0)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GPU results are not bit-for-bit reproducible run-to-run (non-associative floating-point reduction), breaking safety-critical audit replay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Deterministic-mode flag (fixed-order reduction) for production solves + a replay bundle (model hash, solver version, full iteration log) for exact forensic replay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 — verify on real GPU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Already partly in MVP (device.py, replay.py)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 + GPU-LAPTOP</w:t>
            </w:r>
            <w:r>
              <w:rPr>
                <w:sz w:val="17"/>
                <w:szCs w:val="17"/>
              </w:rPr>
              <w:t xml:space="preserve"> — Replay moved to SQLite with a versioned bundle schema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Air-gapped/zero-telemetry claim directly conflicts with a cloud-hosted LLM powering the NL-to-constraint compiler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Two explicit modes: Cloud/Enterprise (hosted LLM) vs Sovereign (on-prem open-weight LLM) with a documented accuracy trade-off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Optional — larger local model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Already in MVP (nlc/llm.py)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Plus an SKU-2 hard lock on cloud mode (#99), audit of the LAN relaxation (#96), and automatic fallback with an alert (#98).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Freedom-to-Operate (patent) analysis on the platform's core differentiators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Commission a formal FTO study on the dual-slack infeasibility-attribution method and GNN-guided pruning before Series A close; avoid claiming decades-old techniques (crossover, SMW) as novel IP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Pre-Series-A</w:t>
            </w:r>
          </w:p>
        </w:tc>
        <w:tc>
          <w:tcPr>
            <w:tcW w:type="dxa" w:w="2790"/>
            <w:shd w:fill="EAE4F2" w:val="clear"/>
          </w:tcPr>
          <w:p>
            <w:r>
              <w:rPr>
                <w:b/>
                <w:bCs/>
                <w:color w:val="4B2E83"/>
                <w:sz w:val="17"/>
                <w:szCs w:val="17"/>
              </w:rPr>
              <w:t xml:space="preserve">NON-CODE</w:t>
            </w:r>
            <w:r>
              <w:rPr>
                <w:sz w:val="17"/>
                <w:szCs w:val="17"/>
              </w:rPr>
              <w:t xml:space="preserve"> — Legal; before Series A. The code makes no novelty claim for crossover, SMW or LMS.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Multi-tenant shared-GPU-cluster architecture (Layer 4) structurally conflicts with a dedicated, isolated PSU/defense deployment requirement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Split into two explicit SKUs — Enterprise Multi-Tenant vs Sovereign Single-Tenant (compile-time-disabled shared queue, no shared code path)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Design decision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SOVEREIGN_SKU. SKU-2 refuses to boot with cloud mode enabled, and the SKU-2 image does not include the Anthropic SDK.…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fault-tolerance/checkpointing strategy for a distributed multi-GPU solve if a node crashes mid-NCCL-collective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Periodic iterate checkpointing to host memory + restart-from-checkpoint on a healthy node, scoped as a Phase-2 requirement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Needs 2+ GPUs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Phase-2</w:t>
            </w:r>
          </w:p>
        </w:tc>
        <w:tc>
          <w:tcPr>
            <w:tcW w:type="dxa" w:w="2790"/>
            <w:shd w:fill="EDEDED" w:val="clear"/>
          </w:tcPr>
          <w:p>
            <w:r>
              <w:rPr>
                <w:b/>
                <w:bCs/>
                <w:color w:val="404040"/>
                <w:sz w:val="17"/>
                <w:szCs w:val="17"/>
              </w:rPr>
              <w:t xml:space="preserve">DEFERRED</w:t>
            </w:r>
            <w:r>
              <w:rPr>
                <w:sz w:val="17"/>
                <w:szCs w:val="17"/>
              </w:rPr>
              <w:t xml:space="preserve"> — Phase-2: the MVP has no multi-GPU/NCCL code (see #61).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unit-economics/TCO comparison against the incumbent's already-sunk CPU license cost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Explicit TCO table + honest framing that the case rests on explainability/sovereignty/re-optimization value, not hardware savings alone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 — real cost data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DDEBF7" w:val="clea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GPU-LAPTOP</w:t>
            </w:r>
            <w:r>
              <w:rPr>
                <w:sz w:val="17"/>
                <w:szCs w:val="17"/>
              </w:rPr>
              <w:t xml:space="preserve"> — scripts/gpu_bench.py --gpu-cost-hour X --cpu-cost-hour Y outputs cost per solve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liability/accountability framework for the transition from advisory-only to control-loop integration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Phase-tied liability-transfer schedule — vendor liability limited to software defects during advisory/shadow phases; negotiated indemnity/insurance before any control-loop go-live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N/A — legal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Pre-Phase-C</w:t>
            </w:r>
          </w:p>
        </w:tc>
        <w:tc>
          <w:tcPr>
            <w:tcW w:type="dxa" w:w="2790"/>
            <w:shd w:fill="EAE4F2" w:val="clear"/>
          </w:tcPr>
          <w:p>
            <w:r>
              <w:rPr>
                <w:b/>
                <w:bCs/>
                <w:color w:val="4B2E83"/>
                <w:sz w:val="17"/>
                <w:szCs w:val="17"/>
              </w:rPr>
              <w:t xml:space="preserve">NON-CODE</w:t>
            </w:r>
            <w:r>
              <w:rPr>
                <w:sz w:val="17"/>
                <w:szCs w:val="17"/>
              </w:rPr>
              <w:t xml:space="preserve"> — Legal</w:t>
            </w:r>
          </w:p>
        </w:tc>
      </w:tr>
    </w:tbl>
    <w:p>
      <w:pPr>
        <w:spacing w:after="200"/>
      </w:pPr>
    </w:p>
    <w:p>
      <w:pPr>
        <w:pStyle w:val="Heading1"/>
        <w:spacing w:after="140" w:before="360"/>
      </w:pPr>
      <w:r>
        <w:t xml:space="preserve">Part II — MVP Engineering Gap Audit (21-121)</w:t>
      </w:r>
    </w:p>
    <w:p>
      <w:pPr>
        <w:pStyle w:val="Heading1"/>
        <w:spacing w:after="140" w:before="360"/>
      </w:pPr>
      <w:r>
        <w:t xml:space="preserve">How to Use the GPU Laptop This Week</w:t>
      </w:r>
    </w:p>
    <w:p>
      <w:pPr>
        <w:spacing w:after="110"/>
      </w:pPr>
      <w:r>
        <w:t xml:space="preserve">Aapke paas ab ek GPU laptop hai — Section D (GPU/Performance) ke saare items 'Yes' marked hain, unhe priority order mein karo:</w:t>
      </w:r>
    </w:p>
    <w:p>
      <w:pPr>
        <w:spacing w:after="110"/>
      </w:pPr>
      <w:r>
        <w:rPr>
          <w:color w:val="595959"/>
        </w:rPr>
        <w:t xml:space="preserve">1) Ek baar CuPy path chalao aur poora test suite GPU ke saath pass karwao.  2) Gurobi ka free academic/trial license lo aur GPU lane verify karo.  3) Har benchmark number jo abhi tak 'not tested' likha hai, real number se replace karo — README aur roadmap dono jagah.  4) Sustained-load + VRAM-limit test karo, kyunki laptop GPU datacenter GPU jaisa behave nahi karta.</w:t>
      </w:r>
    </w:p>
    <w:p>
      <w:pPr>
        <w:pStyle w:val="Heading1"/>
        <w:spacing w:after="140" w:before="360"/>
      </w:pPr>
      <w:r>
        <w:t xml:space="preserve">A. Security &amp; Authentication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2500"/>
        <w:gridCol w:w="1050"/>
        <w:gridCol w:w="950"/>
        <w:gridCol w:w="2790"/>
      </w:tblGrid>
      <w:t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0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GPU laptop?</w:t>
            </w:r>
          </w:p>
        </w:tc>
        <w:tc>
          <w:tcPr>
            <w:tcW w:type="dxa" w:w="9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7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Build status (v0.2.0)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Operator field has no authentication — anyone can type any name and sign off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bcrypt password/PIN per operator + session cookie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auth.py: per-user PIN hashed with scrypt (stdlib, memory-hard; bcrypt is not needed)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Server runs plain HTTP even for LAN/pilot deployment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Enforce HTTPS with self-signed/internal CA cert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hrs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scripts/make_cert.py (self-signed or CSR for the plant CA) and run.ps1 -Https / run.sh --https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CSRF protection on state-changing endpoints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fastapi-csrf-protect middleware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Per-session token, double-submit X-CSRF-Token header, and SameSite=Strict HttpOnly cookie (own middleware; no extra…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API rate-limiting — DoS risk on race/replay endpoints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slowapi middleware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Per-user limiter on expensive endpoints and the race WebSocket, per-IP login limiter, and a 5-failure / 15-minute…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Single flat permission level — no RBAC for safety-tagged sign-off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roles (Operator/Supervisor/Admin); safety-tagged constraints need Supervisor+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days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Operator / Supervisor / Admin roles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Audit log file not OS-permission-locked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chmod 600 + move to SQLite with app-level write lock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SQLite with an in-process write lock and a 0600 file mode on POSIX (Windows relies on the service account's profile ACL;…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Secrets (ANTHROPIC_API_KEY, Gurobi license) likely plain env vars, no rotation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OS keychain/vault, document rotation, .gitignore .env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.env, keys/ and certs/ are git-ignored; secrets are never logged; rotation procedure in SECURITY.md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WebSocket /ws/race has no auth token — any LAN device can watch live solves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Token-based WS handshake auth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Session check plus an Origin check (cross-site WebSocket hijacking) at the handshake; close code 4401.…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MPS/emps upload has no size/time limit — DoS via malformed file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Cap file size, wrap parser in timeout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HTTP 413 above the cap; parser size cap and wall-clock budget; every malformed input becomes a clean MPSError.…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dependency vulnerability scanning in CI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pip-audit + npm audit on every push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pip-audit --strict in CI (written, not executed here: no GitHub runner)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t xml:space="preserve">B. Data Persistence &amp; Reliability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2500"/>
        <w:gridCol w:w="1050"/>
        <w:gridCol w:w="950"/>
        <w:gridCol w:w="2790"/>
      </w:tblGrid>
      <w:t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0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GPU laptop?</w:t>
            </w:r>
          </w:p>
        </w:tc>
        <w:tc>
          <w:tcPr>
            <w:tcW w:type="dxa" w:w="9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7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Build status (v0.2.0)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Flat JSON files for audit/state/replay risk corruption under concurrent writes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Migrate to SQLite, WAL mode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days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store.py (WAL, synchronous=FULL, busy timeout). test_concurrent_race_clients checks the audit chain after concurrent writes.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backup/retention policy for audit log &amp; replay bundles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Scheduled backup script + documented retention window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manage.py backup --keep N (online SQLite backup API); retention policy in OPERATIONS.md.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33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graceful handling of disk-full / write failure mid-solve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Write-failure fallback + operator alert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State and audit entry are written in one transaction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schema versioning on the replay-bundle format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schema_version field + migration path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schema_version in bundles with an upgrade on read; database schema_version table. test_replay_reads_v1_bundles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log rotation — audit.py could grow unbounded on a long pilot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Rotation/archival policy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 (by policy)</w:t>
            </w:r>
            <w:r>
              <w:rPr>
                <w:sz w:val="17"/>
                <w:szCs w:val="17"/>
              </w:rPr>
              <w:t xml:space="preserve"> — The audit chain is a legal ledger and is deliberately never pruned (about 1 KB per event). manage.py export-audit…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Hash-chain never externally anchored — a compromised local admin could regenerate the whole chain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Periodically publish chain-tip hash to an external/write-once medium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manage.py anchor --dest / "Anchor chain tip" button / SOVEREIGN_ANCHOR_DIR. Verification checks anchors on the external…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HA/multi-instance story — single process is a single point of failure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Document as known MVP limit; add systemd auto-restart + health check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Documented single-writer limit. systemd Restart=always plus a /health watchdog timer; Kubernetes liveness/readiness probes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38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migration tooling once SQLite/Postgres lands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Alembic from day one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Numbered, idempotent migrations in store.py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t xml:space="preserve">C. Numerical / Algorithmic Solver Completeness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2500"/>
        <w:gridCol w:w="1050"/>
        <w:gridCol w:w="950"/>
        <w:gridCol w:w="2790"/>
      </w:tblGrid>
      <w:t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0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GPU laptop?</w:t>
            </w:r>
          </w:p>
        </w:tc>
        <w:tc>
          <w:tcPr>
            <w:tcW w:type="dxa" w:w="9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7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Build status (v0.2.0)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HSD (homogeneous self-dual embedding) — near-boundary LPs can fail (already flagged in README)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Implement Xu-Hung-Ye style HSD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weeks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hsd.py (Xu-Hung-Ye / Andersen-Andersen) runs automatically when Mehrotra fails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crossover — only interior solutions, no clean vertex/basis for operators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Implement Bixby-Saltzman crossover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week</w:t>
            </w:r>
          </w:p>
        </w:tc>
        <w:tc>
          <w:tcPr>
            <w:tcW w:type="dxa" w:w="2790"/>
            <w:shd w:fill="EDEDED" w:val="clear"/>
          </w:tcPr>
          <w:p>
            <w:r>
              <w:rPr>
                <w:b/>
                <w:bCs/>
                <w:color w:val="404040"/>
                <w:sz w:val="17"/>
                <w:szCs w:val="17"/>
              </w:rPr>
              <w:t xml:space="preserve">DEFERRED</w:t>
            </w:r>
            <w:r>
              <w:rPr>
                <w:sz w:val="17"/>
                <w:szCs w:val="17"/>
              </w:rPr>
              <w:t xml:space="preserve"> — Duals are verified KKT-optimal (degenerate multiplicity only)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Presolve missing singleton-row/doubleton-column reduction &amp; dual presolve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Extend presolve.py per Andersen &amp; Andersen (1995)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 days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Singleton rows → bounds with exact dual recovery: FIXED. Doubleton columns and dual presolve are deferred.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robustness testing on ill-conditioned problems beyond the standard Netlib set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Stress-test suite of deliberately ill-conditioned Kennington/Netlib problems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days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The stress suite (rows scaled over 10 orders of magnitude, near-parallel rows) found a real weakness: Ruiz scaling alone…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43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MIP-level infeasibility certificate (only LP-level Phase-1/ray test exists)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Farkas-based certificate for the integer relaxation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 days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LP relaxation: Farkas certificate from HSD, verified in original variable space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B&amp;B has no cutting planes (Gomory, cover cuts) — weak on hard MIPs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basic Gomory/knapsack cover cuts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1-2 weeks</w:t>
            </w:r>
          </w:p>
        </w:tc>
        <w:tc>
          <w:tcPr>
            <w:tcW w:type="dxa" w:w="2790"/>
            <w:shd w:fill="EDEDED" w:val="clear"/>
          </w:tcPr>
          <w:p>
            <w:r>
              <w:rPr>
                <w:b/>
                <w:bCs/>
                <w:color w:val="404040"/>
                <w:sz w:val="17"/>
                <w:szCs w:val="17"/>
              </w:rPr>
              <w:t xml:space="preserve">DEFERRED</w:t>
            </w:r>
            <w:r>
              <w:rPr>
                <w:sz w:val="17"/>
                <w:szCs w:val="17"/>
              </w:rPr>
              <w:t xml:space="preserve"> — 1–2 weeks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parallel B&amp;B — single-threaded tree search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Multi-thread node exploration (CPU) or GPU-batch LP relaxations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Optional — helps more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week</w:t>
            </w:r>
          </w:p>
        </w:tc>
        <w:tc>
          <w:tcPr>
            <w:tcW w:type="dxa" w:w="2790"/>
            <w:shd w:fill="EDEDED" w:val="clear"/>
          </w:tcPr>
          <w:p>
            <w:r>
              <w:rPr>
                <w:b/>
                <w:bCs/>
                <w:color w:val="404040"/>
                <w:sz w:val="17"/>
                <w:szCs w:val="17"/>
              </w:rPr>
              <w:t xml:space="preserve">DEFERRED</w:t>
            </w:r>
            <w:r>
              <w:rPr>
                <w:sz w:val="17"/>
                <w:szCs w:val="17"/>
              </w:rPr>
              <w:t xml:space="preserve"> — Would break bit-exact replay unless a deterministic parallel scheme is designed.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warm-start reuse across B&amp;B nodes (SMW only used at top level)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Extend SMW warm-start into node LPs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3-4 days</w:t>
            </w:r>
          </w:p>
        </w:tc>
        <w:tc>
          <w:tcPr>
            <w:tcW w:type="dxa" w:w="2790"/>
            <w:shd w:fill="EDEDED" w:val="clear"/>
          </w:tcPr>
          <w:p>
            <w:r>
              <w:rPr>
                <w:b/>
                <w:bCs/>
                <w:color w:val="404040"/>
                <w:sz w:val="17"/>
                <w:szCs w:val="17"/>
              </w:rPr>
              <w:t xml:space="preserve">DEFERRED</w:t>
            </w:r>
            <w:r>
              <w:rPr>
                <w:sz w:val="17"/>
                <w:szCs w:val="17"/>
              </w:rPr>
              <w:t xml:space="preserve"> — IPM warm starts give about 1.3× at best (measured)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documented deterministic tie-break rule for B&amp;B node selection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Fix and test the tie-break rule explicitly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Best bound, then FIFO creation order (documented). test_bnb_tie_break_is_deterministic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explicit tests for free variables / ranged-constraint edge cases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targeted unit tests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test_free_variables_and_ranged_rows_by_hand, test_free_variable_unbounded_direction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centralized numerical-tolerance policy (1e-6/1e-8/1e-4 scattered across modules)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Centralize tolerance constants in one config module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sovereign/tolerances.py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50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condition-number diagnostic surfaced to the user on a slow/failed solve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condition-number estimate to the dashboard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days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Per-solve estimate, UI warning, and it feeds the failure alert. test_condition_estimate_reported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quadratic-objective (QP) support — real blending-quality terms are often quadratic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Extend IPM normal equations with a Q term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Helps once added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2-3 weeks</w:t>
            </w:r>
          </w:p>
        </w:tc>
        <w:tc>
          <w:tcPr>
            <w:tcW w:type="dxa" w:w="2790"/>
            <w:shd w:fill="EDEDED" w:val="clear"/>
          </w:tcPr>
          <w:p>
            <w:r>
              <w:rPr>
                <w:b/>
                <w:bCs/>
                <w:color w:val="404040"/>
                <w:sz w:val="17"/>
                <w:szCs w:val="17"/>
              </w:rPr>
              <w:t xml:space="preserve">DEFERRED</w:t>
            </w:r>
            <w:r>
              <w:rPr>
                <w:sz w:val="17"/>
                <w:szCs w:val="17"/>
              </w:rPr>
              <w:t xml:space="preserve"> — 2–3 weeks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semi-continuous / SOS1-SOS2 variable types — common in blending problems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SOS handling to B&amp;B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week</w:t>
            </w:r>
          </w:p>
        </w:tc>
        <w:tc>
          <w:tcPr>
            <w:tcW w:type="dxa" w:w="2790"/>
            <w:shd w:fill="EDEDED" w:val="clear"/>
          </w:tcPr>
          <w:p>
            <w:r>
              <w:rPr>
                <w:b/>
                <w:bCs/>
                <w:color w:val="404040"/>
                <w:sz w:val="17"/>
                <w:szCs w:val="17"/>
              </w:rPr>
              <w:t xml:space="preserve">DEFERRED</w:t>
            </w:r>
            <w:r>
              <w:rPr>
                <w:sz w:val="17"/>
                <w:szCs w:val="17"/>
              </w:rPr>
              <w:t xml:space="preserve"> — Semi-continuous variables can be modelled with a binary today.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written convergence/complexity statement for technical diligence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 note citing Mehrotra's polynomial-complexity result + noted deviations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docs/CONVERGENCE.md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t xml:space="preserve">D. GPU / Performance — actionable NOW with your GPU laptop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2500"/>
        <w:gridCol w:w="1050"/>
        <w:gridCol w:w="950"/>
        <w:gridCol w:w="2790"/>
      </w:tblGrid>
      <w:t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0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GPU laptop?</w:t>
            </w:r>
          </w:p>
        </w:tc>
        <w:tc>
          <w:tcPr>
            <w:tcW w:type="dxa" w:w="9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7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Build status (v0.2.0)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CuPy GPU path never executed even once — zero real evidence it works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pip install cupy-cudaXX, set SOVEREIGN_DISABLE_GPU=0, run the full suite + race tab on the laptop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 — do this first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DDEBF7" w:val="clea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GPU-LAPTOP</w:t>
            </w:r>
            <w:r>
              <w:rPr>
                <w:sz w:val="17"/>
                <w:szCs w:val="17"/>
              </w:rPr>
              <w:t xml:space="preserve"> — The code path runs end to end in tests with a NumPy stand-in for CuPy (test_gpu_dense_path_and_oom_fallback)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CUDA/driver version pin or compatibility note documented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Document exact CUDA/cuDNN/CuPy versions tested on the laptop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DDEBF7" w:val="clea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GPU-LAPTOP</w:t>
            </w:r>
            <w:r>
              <w:rPr>
                <w:sz w:val="17"/>
                <w:szCs w:val="17"/>
              </w:rPr>
              <w:t xml:space="preserve"> — The boot diagnostic and gpu_bench record the CUDA runtime, driver and CuPy versions; fill in COMPATIBILITY.md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56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Gurobi GPU lane (GUROBI_GPU_PARAMS) never verified against a real release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Install Gurobi (free academic/trial license), verify param names on the laptop, update README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DDEBF7" w:val="clea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GPU-LAPTOP</w:t>
            </w:r>
            <w:r>
              <w:rPr>
                <w:sz w:val="17"/>
                <w:szCs w:val="17"/>
              </w:rPr>
              <w:t xml:space="preserve"> — scripts/check_gurobi.py reports which parameter names the installed release accepts.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GPU out-of-memory handling tested (laptop GPUs often have 4-8 GB VRAM)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OOM fallback to CPU path with a warning; test at the laptop's real VRAM limit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1-2 days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 + GPU-LAPTOP</w:t>
            </w:r>
            <w:r>
              <w:rPr>
                <w:sz w:val="17"/>
                <w:szCs w:val="17"/>
              </w:rPr>
              <w:t xml:space="preserve"> — VRAM pre-check and exception fallback to CPU, counted on /health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benchmark of GPU dense Cholesky vs CPU SuperLU/CHOLMOD on the same hardware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Run side-by-side benchmark, publish real numbers, replace the README's "not tested" line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DDEBF7" w:val="clea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GPU-LAPTOP</w:t>
            </w:r>
            <w:r>
              <w:rPr>
                <w:sz w:val="17"/>
                <w:szCs w:val="17"/>
              </w:rPr>
              <w:t xml:space="preserve"> — gpu_bench.py factorization sweep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profiling of kernel-launch overhead — small problems may be SLOWER on GPU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Profile and document the problem-size crossover point where GPU starts winning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1-2 days</w:t>
            </w:r>
          </w:p>
        </w:tc>
        <w:tc>
          <w:tcPr>
            <w:tcW w:type="dxa" w:w="2790"/>
            <w:shd w:fill="DDEBF7" w:val="clea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GPU-LAPTOP</w:t>
            </w:r>
            <w:r>
              <w:rPr>
                <w:sz w:val="17"/>
                <w:szCs w:val="17"/>
              </w:rPr>
              <w:t xml:space="preserve"> — same sweep; reports the first size where the GPU wins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FP16→FP64 mixed-precision accuracy path never validated on real GPU hardware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Run a GPU-vs-CPU-FP64 objective-accuracy regression suite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DDEBF7" w:val="clea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GPU-LAPTOP</w:t>
            </w:r>
            <w:r>
              <w:rPr>
                <w:sz w:val="17"/>
                <w:szCs w:val="17"/>
              </w:rPr>
              <w:t xml:space="preserve"> — gpu_bench.py accuracy section and test_gpu_real.py (1e-7 vs CPU FP64)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NCCL multi-GPU code is 100% unverified (a single laptop GPU can't test it)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Label explicitly "untested, no multi-GPU hardware"; test only if a 2nd GPU/cloud box becomes available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Needs 2+ GPUs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Document now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 (label)</w:t>
            </w:r>
            <w:r>
              <w:rPr>
                <w:sz w:val="17"/>
                <w:szCs w:val="17"/>
              </w:rPr>
              <w:t xml:space="preserve"> — There is no NCCL / multi-GPU code in this codebase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sustained-load/thermal test — laptop GPUs throttle under load, unlike datacenter GPUs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Run a 30-60 min sustained benchmark loop, note any throttling in the results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DDEBF7" w:val="clea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GPU-LAPTOP</w:t>
            </w:r>
            <w:r>
              <w:rPr>
                <w:sz w:val="17"/>
                <w:szCs w:val="17"/>
              </w:rPr>
              <w:t xml:space="preserve"> — gpu_bench.py --minutes 30; logs nvidia-smi clocks and temperatures and flags slowdowns above 15%.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friendly diagnostic when CUDA is/isn't detected — device.py likely fails silently to CPU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Print a clear boot-time diagnostic (found: CUDA 12.x + GPU model / found: none)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Boot diagnostic line, a /health "compute" field, and a header badge tooltip giving the reason.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recorded screen capture of a working GPU race-tab run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Once working, record it as a pitch backup in case live GPU demo fails on stage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DDEBF7" w:val="clea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GPU-LAPTOP</w:t>
            </w:r>
            <w:r>
              <w:rPr>
                <w:sz w:val="17"/>
                <w:szCs w:val="17"/>
              </w:rPr>
              <w:t xml:space="preserve"> — Manual; checklist in GPU_VALIDATION.md.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65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TCO table (roadmap Sec. 14.6) still uses illustrative/placeholder numbers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Benchmark laptop-GPU vs rented-cloud-GPU vs CPU-only, plug real numbers into the roadmap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DDEBF7" w:val="clea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GPU-LAPTOP</w:t>
            </w:r>
            <w:r>
              <w:rPr>
                <w:sz w:val="17"/>
                <w:szCs w:val="17"/>
              </w:rPr>
              <w:t xml:space="preserve"> — gpu_bench.py cost inputs (see #19).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t xml:space="preserve">E. Testing &amp; Validation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2500"/>
        <w:gridCol w:w="1050"/>
        <w:gridCol w:w="950"/>
        <w:gridCol w:w="2790"/>
      </w:tblGrid>
      <w:t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0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GPU laptop?</w:t>
            </w:r>
          </w:p>
        </w:tc>
        <w:tc>
          <w:tcPr>
            <w:tcW w:type="dxa" w:w="9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7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Build status (v0.2.0)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77 tests exist but no coverage report — unknown which modules are under-tested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pytest-cov, target 85%+ on the solver core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pytest-cov. 87% overall; IPM 95%, linalg 96%, presolve 97%, HSD 96%, engine 100%, B&amp;B 88%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fuzz testing of the MPS parser — a malformed file could crash it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Hypothesis-based fuzz tests for mps.py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days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600 seeded mutation cases plus random-bytes and limit tests (no Hypothesis dependency)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68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load/stress test for concurrent WebSocket clients on /ws/race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Simple concurrent-client load test (locust/websockets)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4 concurrent authenticated race clients plus an audit-chain integrity check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version-to-version regression suite (only vs HiGHS as oracle)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Golden-file regression suite that fails on unintended numeric drift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tests/golden.json plus test_golden_objectives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CI pipeline visible — tests appear to run manually only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GitHub Actions workflow running pytest + pip-audit on every push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.github/workflows/ci.yml (Windows + Linux, Python 3.11 and 3.13, coverage, pip-audit, licence gate, SBOM, report)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71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end-to-end test of the human-verification-gate UI flow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Playwright/Selenium E2E test simulating an operator sign-off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days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An API-level end-to-end test drives the whole sign-off flow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72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explicit test that audit-log tamper detection actually catches a manual edit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"Corrupt one byte, verify detection" test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One byte, a deleted row and a full-chain rewrite are all detected.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73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negative test that replay correctly FAILS on a real mismatch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Force a non-deterministic op, verify replay flags it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test_replay_fails_loudly_on_mismatch (also a tampered stored model)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74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performance-regression test — a future change could silently 10x slow the solver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Benchmark test with a time-budget assertion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test_performance_budget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75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Refinery model is explicitly synthetic — no hand-verifiable sanity case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Build one small blending example with a known-by-hand optimal solution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Two-component sulfur blend: objective 46000/9, dual 200/9, derived by hand in the test docstring.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t xml:space="preserve">F. Observability, Logging &amp; Ops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2500"/>
        <w:gridCol w:w="1050"/>
        <w:gridCol w:w="950"/>
        <w:gridCol w:w="2790"/>
      </w:tblGrid>
      <w:t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0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GPU laptop?</w:t>
            </w:r>
          </w:p>
        </w:tc>
        <w:tc>
          <w:tcPr>
            <w:tcW w:type="dxa" w:w="9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7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Build status (v0.2.0)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76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structured logging — hard to debug a remote pilot deployment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Adopt structured JSON logging (structlog)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JSON log lines (stdlib formatter, no structlog dependency)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77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health-check endpoint for ops monitoring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FastAPI /health reporting solver/device/DB status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Database integrity, audit chain + anchors, disk, compute, GPU fallbacks, solver alert and LLM state; "degraded" with reasons.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78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metrics export (solve time, queue depth, error rate)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Prometheus-compatible /metrics endpoint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1-2 days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Prometheus text: requests, latency, solves by status, solve time, in-flight, audit length, disk, GPU.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79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alerting on repeated solver failures or numerical warnings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Basic alert (email/webhook) after N consecutive failures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N consecutive failures or ill-conditioned solves produce an ERROR log, an audit event, /health degraded, and an optional…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process supervision (systemd/pm2) documented for on-prem deployment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a systemd unit + auto-restart policy to deployment docs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deploy/systemd/* (hardened unit plus a health-watchdog timer).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81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graceful shutdown for in-flight solves on server restart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SIGTERM handler that finishes/saves in-flight state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Lifespan drain (in-flight solves finish; new POSTs get 503), uvicorn --timeout-graceful-shutdown, and Kubernetes…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disk-space monitoring for the ever-growing audit/replay directory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Disk-usage check + warning threshold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/health + /metrics, with the threshold set by SOVEREIGN_DISK_WARN_GB.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83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centralized config validation at startup — a bad env var fails silently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Pydantic Settings class validating all env vars at boot, fail fast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sovereign/config.py (pydantic): refuses to boot on bad values and warns on unknown variables. test_config_fails_fast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t xml:space="preserve">G. Frontend / Dashboard UX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2500"/>
        <w:gridCol w:w="1050"/>
        <w:gridCol w:w="950"/>
        <w:gridCol w:w="2790"/>
      </w:tblGrid>
      <w:t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0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GPU laptop?</w:t>
            </w:r>
          </w:p>
        </w:tc>
        <w:tc>
          <w:tcPr>
            <w:tcW w:type="dxa" w:w="9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7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Build status (v0.2.0)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84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accessibility (a11y) testing on the React 18 UMD dashboard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Run axe-core audit, fix critical issues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1-2 days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Manual pass: form labels, ARIA roles (tabs, meter, alert, radiogroup), visible focus, keyboard-operable rows, a…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confirmed responsive layout for control-room tablets/monitors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Test and fix responsive breakpoints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DONE (v0.1)</w:t>
            </w:r>
            <w:r>
              <w:rPr>
                <w:sz w:val="17"/>
                <w:szCs w:val="17"/>
              </w:rPr>
              <w:t xml:space="preserve"> — Verified at a 375 px phone width.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86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high-contrast/dark mode for 24/7 control-room use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a theme toggle with a high-contrast "control room" mode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Toggle in the header (7:1+ contrast, thicker focus rings)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clear visual distinction between advisory suggestion and approved decision — operator confusion risk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Status badges: Draft / Pending Sign-off / Approved / Shadow-mode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Pending / approved / rejected / blocked banners plus shadow/production chips; "not applied to any plan yet" wording.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88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undo/revert window for an accidental sign-off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Short confirm-with-timeout before an approval is final in the audit log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5 s confirm-with-timeout; nothing reaches the server or the audit log until it expires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89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"Unavailable" race-tab lanes show a reason but no explanatory legend for non-technical viewers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Tooltip/legend explaining each lane's requirements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Tooltips plus a "What do the lanes mean?" panel.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offline/reconnect handling for the WebSocket race tab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Auto-reconnect with a visible "reconnecting…" state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Health-poll "reconnecting…" banner; a dropped race keeps its partial results and explains how to retry.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91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internationalization — UI is English-only for regional-language operators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i18n scaffold, even if only English is populated today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1-2 days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 (scaffold)</w:t>
            </w:r>
            <w:r>
              <w:rPr>
                <w:sz w:val="17"/>
                <w:szCs w:val="17"/>
              </w:rPr>
              <w:t xml:space="preserve"> — frontend/src/i18n.js: English complete, Hindi for navigation and key actions.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92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print/export view of a solved plan for shift handover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"Print plan" / PDF export view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Print stylesheet with user, time, replay id and model hash for shift handover.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93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explicit cold-start vs warm-start speedup callout in the UI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"Xx faster with warm-start" badge on the Refinery plan tab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"N× fewer iterations with warm start (measured on this change)".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t xml:space="preserve">H. NL Compiler / LLM Safety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2500"/>
        <w:gridCol w:w="1050"/>
        <w:gridCol w:w="950"/>
        <w:gridCol w:w="2790"/>
      </w:tblGrid>
      <w:t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0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GPU laptop?</w:t>
            </w:r>
          </w:p>
        </w:tc>
        <w:tc>
          <w:tcPr>
            <w:tcW w:type="dxa" w:w="9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7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Build status (v0.2.0)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94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Default local model (llama3.1:8b) is genuinely weak at precise numeric parsing — accuracy unbenchmarked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Benchmark 8B vs a larger local model your laptop's VRAM allows (e.g. a quantized 34B); publish accuracy numbers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 — VRAM dependent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2-3 days</w:t>
            </w:r>
          </w:p>
        </w:tc>
        <w:tc>
          <w:tcPr>
            <w:tcW w:type="dxa" w:w="2790"/>
            <w:shd w:fill="DDEBF7" w:val="clea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GPU-LAPTOP</w:t>
            </w:r>
            <w:r>
              <w:rPr>
                <w:sz w:val="17"/>
                <w:szCs w:val="17"/>
              </w:rPr>
              <w:t xml:space="preserve"> — python -m sovereign.nlc.evaluate sovereign-local-llm benchmarks any Ollama model (8B vs a quantised 34B) on the labelled set.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95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adversarial/red-team testing of the NL compiler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Red-team test set of ambiguous/adversarial phrasings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days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50-item labelled set including injection, SQL, decimal/unit slips, homoglyphs, negation, relative, time-bounded,…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96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SOVEREIGN_ALLOW_LAN_LLM, once enabled, isn't separately logged as a sovereignty relaxation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 a distinct audit event whenever this flag is active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sovereignty.relaxed audit event at boot; every proposal carries the relaxation flag.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97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calibration validation of the confidence score ("90% confidence" ≠ verified 90% correct)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Calibration study against a labeled test set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days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 (caveat)</w:t>
            </w:r>
            <w:r>
              <w:rPr>
                <w:sz w:val="17"/>
                <w:szCs w:val="17"/>
              </w:rPr>
              <w:t xml:space="preserve"> — docs/NL_CALIBRATION.md: 100% accuracy in every populated bucket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98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specified fallback if the local Ollama endpoint is down mid-shift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Degrade to sovereign-rules mode automatically, with an operator alert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Per-request fallback to the offline parser, an ALERT note, an nl.llm_unavailable audit event, and /health degraded.…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99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cloud-llm mode is UI-flagged but not hard-blocked for a sovereign build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Build-time lock disabling cloud-llm entirely for SKU-2 builds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SKU-2 refuses to start with it enabled; the runtime refuses it; the SKU-2 image does not ship the SDK. Tested.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reproducibility guarantee across LLM version upgrades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Pin model version in the audit record; flag re-verification needed on upgrade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Parser/model id (rules:1.1.0, local:&lt;tag&gt;, cloud:&lt;id&gt;) pinned in every proposal, constraint and audit entry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101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Unclear coverage of compound multi-clause constraint sentences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explicit test cases for compound/multi-clause input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1-2 days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Rejected with a "enter them one at a time" message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t xml:space="preserve">I. Packaging, Deployment &amp; DevOps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2500"/>
        <w:gridCol w:w="1050"/>
        <w:gridCol w:w="950"/>
        <w:gridCol w:w="2790"/>
      </w:tblGrid>
      <w:t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0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GPU laptop?</w:t>
            </w:r>
          </w:p>
        </w:tc>
        <w:tc>
          <w:tcPr>
            <w:tcW w:type="dxa" w:w="9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7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Build status (v0.2.0)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102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Docker/container image — README implies a bare pip install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Dockerfile (CPU) + a CUDA-base Dockerfile variant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 — for GPU variant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1-2 days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Dockerfile (CPU, non-root, health check) and Dockerfile.cuda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103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requirements.txt (335 B) is very small — likely unpinned versions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Pin exact versions + a lockfile (pip-tools/poetry)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Exact pins in requirements.txt, a full transitive requirements.lock (supply_chain.py lock), and requirements-dev.txt.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104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production installer — run.ps1/run.sh are dev-convenience scripts only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Proper packaging (PyInstaller or a signed installer) for pilot-site IT teams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2-3 days</w:t>
            </w:r>
          </w:p>
        </w:tc>
        <w:tc>
          <w:tcPr>
            <w:tcW w:type="dxa" w:w="2790"/>
            <w:shd w:fill="EDEDED" w:val="clear"/>
          </w:tcPr>
          <w:p>
            <w:r>
              <w:rPr>
                <w:b/>
                <w:bCs/>
                <w:color w:val="404040"/>
                <w:sz w:val="17"/>
                <w:szCs w:val="17"/>
              </w:rPr>
              <w:t xml:space="preserve">DEFERRED</w:t>
            </w:r>
            <w:r>
              <w:rPr>
                <w:sz w:val="17"/>
                <w:szCs w:val="17"/>
              </w:rPr>
              <w:t xml:space="preserve"> — The pilot artifacts are the signed release zip, the Docker image and the systemd unit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105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documented OS/hardware compatibility matrix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Publish a matrix, test on at least 2 OS targets (including the GPU laptop's OS)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Yes — for GPU rows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1-2 days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docs/COMPATIBILITY.md: one verified row (Windows 11 / Python 3.13 / CPU); Linux and GPU rows to fill in from CI and the…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106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update/patch mechanism for a deployed air-gapped instance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Document a signed-package manual update procedure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scripts/release.py (Ed25519-signed SHA256SUMS; tamper detected in test) plus docs/OPERATIONS.md.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107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automated check that new dependencies get a matching LICENSE file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License-check CI step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supply_chain.py licenses: fails on copyleft or unknown licences; all 21 components pass.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108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SBOM (Software Bill of Materials) — increasingly required for PSU/government procurement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Generate SBOM via CycloneDX/pip-licenses at release time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sbom.cdx.json (CycloneDX 1.5, including the vendored React/htm).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109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self-check that env vars in code stay in sync with the README table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Startup self-check printing all recognized env vars vs README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manage.py config, an unknown-variable warning at boot, and the check_env_docs.py CI gate (currently in sync).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multi-platform CI test matrix — "works on my machine" only so far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Windows + Linux runners to CI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Matrix written (see #70).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111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documented data-purge/uninstall procedure (important for CVC/compliance)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Document and script a full data-purge command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manage.py purge --yes plus the documented off-box steps.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t xml:space="preserve">J. Documentation, Compliance &amp; Business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00"/>
        <w:gridCol w:w="2500"/>
        <w:gridCol w:w="1050"/>
        <w:gridCol w:w="950"/>
        <w:gridCol w:w="2790"/>
      </w:tblGrid>
      <w:tr>
        <w:tc>
          <w:tcPr>
            <w:tcW w:type="dxa" w:w="4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  <w:tc>
          <w:tcPr>
            <w:tcW w:type="dxa" w:w="10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GPU laptop?</w:t>
            </w:r>
          </w:p>
        </w:tc>
        <w:tc>
          <w:tcPr>
            <w:tcW w:type="dxa" w:w="950"/>
            <w:shd w:fill="1F4E79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Effort</w:t>
            </w:r>
          </w:p>
        </w:tc>
        <w:tc>
          <w:tcPr>
            <w:tcW w:type="dxa" w:w="27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Build status (v0.2.0)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confirmation that FastAPI's free Swagger/OpenAPI docs (/docs) are enabled and linked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Confirm and link /docs (Swagger UI) in README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 (caveat)</w:t>
            </w:r>
            <w:r>
              <w:rPr>
                <w:sz w:val="17"/>
                <w:szCs w:val="17"/>
              </w:rPr>
              <w:t xml:space="preserve"> — /docs and /openapi.json are linked from the Sovereignty tab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113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exportable formal test report for an investor/judge data room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pytest --html=report.html as a shareable artifact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docs/TEST_REPORT.html (scripts/test_report.py, no plugin).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114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changelog / version-history file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CHANGELOG.md, tag releases matching the roadmap doc's version numbers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CHANGELOG.md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115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LICENSE file for the codebase itself (proprietary vs open-core undecided)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LICENSE — decide before it matters legally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  <w:r>
              <w:rPr>
                <w:sz w:val="17"/>
                <w:szCs w:val="17"/>
              </w:rPr>
              <w:t xml:space="preserve"> — A proprietary "all rights reserved" placeholder plus third-party notices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116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This 101-item list isn't yet reconciled back into the roadmap document's gap-closure-log format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a Section 15 "MVP Build Reconciliation" to the roadmap, matching Sections 0/14's style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Say the word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Master roadmap docx updated with a status column and a "Build Reconciliation" section.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117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documented incident-response plan for a tampered audit log or a discovered bad recommendation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One-page incident-response runbook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docs/INCIDENT_RESPONSE.md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118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non-technical operator quick-start guide (distinct from the developer README)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Draft a short operator training document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1-2 days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docs/OPERATOR_GUIDE.md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119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data-flow diagram showing exactly what leaves the box in each of the 3 compiler modes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One-page data-flow diagram for a sovereignty/compliance review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docs/DATA_FLOW.md</w:t>
            </w:r>
          </w:p>
        </w:tc>
      </w:tr>
      <w:tr>
        <w:tc>
          <w:tcPr>
            <w:tcW w:type="dxa" w:w="4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cross-reference of the 77 tests to the roadmap sections they validate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tests/README.md mapping table, mirroring the code's own mapping table</w:t>
            </w:r>
          </w:p>
        </w:tc>
        <w:tc>
          <w:tcPr>
            <w:tcW w:type="dxa" w:w="10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FFFFF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0.5 day</w:t>
            </w:r>
          </w:p>
        </w:tc>
        <w:tc>
          <w:tcPr>
            <w:tcW w:type="dxa" w:w="279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  <w:r>
              <w:rPr>
                <w:sz w:val="17"/>
                <w:szCs w:val="17"/>
              </w:rPr>
              <w:t xml:space="preserve"> — backend/tests/README.md</w:t>
            </w:r>
          </w:p>
        </w:tc>
      </w:tr>
      <w:tr>
        <w:tc>
          <w:tcPr>
            <w:tcW w:type="dxa" w:w="4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121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independent/external code or security review yet — self-reported test results carry less weight at Series A</w:t>
            </w:r>
          </w:p>
        </w:tc>
        <w:tc>
          <w:tcPr>
            <w:tcW w:type="dxa" w:w="250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Budget and schedule a lightweight external audit ahead of the next funding conversation</w:t>
            </w:r>
          </w:p>
        </w:tc>
        <w:tc>
          <w:tcPr>
            <w:tcW w:type="dxa" w:w="10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950"/>
            <w:shd w:fill="F2F2F2" w:val="clear"/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Plan ahead</w:t>
            </w:r>
          </w:p>
        </w:tc>
        <w:tc>
          <w:tcPr>
            <w:tcW w:type="dxa" w:w="2790"/>
            <w:shd w:fill="EAE4F2" w:val="clear"/>
          </w:tcPr>
          <w:p>
            <w:r>
              <w:rPr>
                <w:b/>
                <w:bCs/>
                <w:color w:val="4B2E83"/>
                <w:sz w:val="17"/>
                <w:szCs w:val="17"/>
              </w:rPr>
              <w:t xml:space="preserve">NON-CODE</w:t>
            </w:r>
            <w:r>
              <w:rPr>
                <w:sz w:val="17"/>
                <w:szCs w:val="17"/>
              </w:rPr>
              <w:t xml:space="preserve"> — Scope proposal in docs/SECURITY.md §External review</w:t>
            </w:r>
          </w:p>
        </w:tc>
      </w:tr>
    </w:tbl>
    <w:p>
      <w:pPr>
        <w:spacing w:after="160"/>
      </w:pPr>
    </w:p>
    <w:p>
      <w:pPr>
        <w:pStyle w:val="Heading1"/>
        <w:spacing w:after="140" w:before="360"/>
      </w:pPr>
      <w:r>
        <w:t xml:space="preserve">Suggested Order of Attack (2–3 Week Sprint)</w:t>
      </w:r>
    </w:p>
    <w:p>
      <w:pPr>
        <w:spacing w:after="110"/>
      </w:pPr>
      <w:r>
        <w:t xml:space="preserve">Week 1: Section A (auth) + Section D (GPU laptop items) + Section B items 11-13 — these unblock the demo and the security story simultaneously.</w:t>
      </w:r>
    </w:p>
    <w:p>
      <w:pPr>
        <w:spacing w:after="110"/>
      </w:pPr>
      <w:r>
        <w:t xml:space="preserve">Week 2: Section C's top 3 (HSD, crossover, presolve extension) + Section E (CI + coverage) — these unblock a credible technical deep-dive.</w:t>
      </w:r>
    </w:p>
    <w:p>
      <w:pPr>
        <w:spacing w:after="110"/>
      </w:pPr>
      <w:r>
        <w:t xml:space="preserve">Week 3: Sections F, G, H, I, J — polish and data-room readiness, done in parallel by whoever isn't on the solver core.</w:t>
      </w:r>
    </w:p>
    <w:p>
      <w:pPr>
        <w:pBdr>
          <w:left w:val="single" w:color="B7472A" w:sz="12" w:space="8"/>
        </w:pBdr>
        <w:spacing w:after="160" w:before="80"/>
      </w:pPr>
      <w:r>
        <w:rPr>
          <w:i/>
          <w:iCs/>
          <w:color w:val="B7472A"/>
        </w:rPr>
        <w:t xml:space="preserve">⚠ This is a checklist, not a blocker list — none of these 101 items should delay a demo that's already working. Fix in priority order, and say clearly in the pitch which items are 'fixed', 'in progress', and 'roadmapped' — that honesty is itself a credibility signal.</w:t>
      </w:r>
    </w:p>
    <w:p>
      <w:pPr>
        <w:pStyle w:val="Heading1"/>
        <w:spacing w:after="140" w:before="360"/>
      </w:pPr>
      <w:r>
        <w:rPr/>
        <w:t xml:space="preserve">Build Reconciliation — v0.2.0 (29 September 2026)</w:t>
      </w:r>
    </w:p>
    <w:p>
      <w:pPr>
        <w:spacing w:after="110"/>
      </w:pPr>
      <w:r>
        <w:rPr/>
        <w:t xml:space="preserve">This section closes item 116: it reconciles the 121-item list with the code that now exists. Detailed evidence for every item (test names, files, verification notes) is in docs/GAP_STATUS.md inside the repository; the shareable test report is docs/TEST_REPORT.html.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90"/>
        <w:gridCol w:w="1250"/>
      </w:tblGrid>
      <w:tr>
        <w:tc>
          <w:tcPr>
            <w:tcW w:type="dxa" w:w="190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  <w:tc>
          <w:tcPr>
            <w:tcW w:type="dxa" w:w="1250"/>
            <w:shd w:fill="1F4E79" w:val="clear"/>
          </w:tcPr>
          <w:p>
            <w:r>
              <w:rPr>
                <w:b/>
                <w:bCs/>
                <w:sz w:val="17"/>
                <w:szCs w:val="17"/>
              </w:rPr>
              <w:t xml:space="preserve">Items</w:t>
            </w:r>
          </w:p>
        </w:tc>
      </w:tr>
      <w:tr>
        <w:tc>
          <w:tcPr>
            <w:tcW w:type="dxa" w:w="190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FIXED</w:t>
            </w:r>
          </w:p>
        </w:tc>
        <w:tc>
          <w:tcPr>
            <w:tcW w:type="dxa" w:w="7090"/>
            <w:shd w:fill="FFFFFF" w:val="clear"/>
          </w:tcPr>
          <w:p>
            <w:r>
              <w:rPr>
                <w:sz w:val="17"/>
                <w:szCs w:val="17"/>
              </w:rPr>
              <w:t xml:space="preserve">Implemented in this build and covered by an automated test or a recorded verification.</w:t>
            </w:r>
          </w:p>
        </w:tc>
        <w:tc>
          <w:tcPr>
            <w:tcW w:type="dxa" w:w="1250"/>
            <w:shd w:fill="FFFFFF" w:val="clear"/>
          </w:tcPr>
          <w:p>
            <w:r>
              <w:rPr>
                <w:sz w:val="17"/>
                <w:szCs w:val="17"/>
              </w:rPr>
              <w:t xml:space="preserve">75</w:t>
            </w:r>
          </w:p>
        </w:tc>
      </w:tr>
      <w:tr>
        <w:tc>
          <w:tcPr>
            <w:tcW w:type="dxa" w:w="1900"/>
            <w:shd w:fill="E2F0D9" w:val="clear"/>
          </w:tcPr>
          <w:p>
            <w:r>
              <w:rPr>
                <w:b/>
                <w:bCs/>
                <w:color w:val="1E5B24"/>
                <w:sz w:val="17"/>
                <w:szCs w:val="17"/>
              </w:rPr>
              <w:t xml:space="preserve">DONE (v0.1)</w:t>
            </w:r>
          </w:p>
        </w:tc>
        <w:tc>
          <w:tcPr>
            <w:tcW w:type="dxa" w:w="7090"/>
            <w:shd w:fill="F2F2F2" w:val="clear"/>
          </w:tcPr>
          <w:p>
            <w:r>
              <w:rPr>
                <w:sz w:val="17"/>
                <w:szCs w:val="17"/>
              </w:rPr>
              <w:t xml:space="preserve">Already in the first MVP; re-verified in this build.</w:t>
            </w:r>
          </w:p>
        </w:tc>
        <w:tc>
          <w:tcPr>
            <w:tcW w:type="dxa" w:w="1250"/>
            <w:shd w:fill="F2F2F2" w:val="clear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1900"/>
            <w:shd w:fill="FFF2CC" w:val="clear"/>
          </w:tcPr>
          <w:p>
            <w:r>
              <w:rPr>
                <w:b/>
                <w:bCs/>
                <w:color w:val="7A5A00"/>
                <w:sz w:val="17"/>
                <w:szCs w:val="17"/>
              </w:rPr>
              <w:t xml:space="preserve">PARTIAL</w:t>
            </w:r>
          </w:p>
        </w:tc>
        <w:tc>
          <w:tcPr>
            <w:tcW w:type="dxa" w:w="7090"/>
            <w:shd w:fill="FFFFFF" w:val="clear"/>
          </w:tcPr>
          <w:p>
            <w:r>
              <w:rPr>
                <w:sz w:val="17"/>
                <w:szCs w:val="17"/>
              </w:rPr>
              <w:t xml:space="preserve">The useful part is built; the remainder is stated in the item's note.</w:t>
            </w:r>
          </w:p>
        </w:tc>
        <w:tc>
          <w:tcPr>
            <w:tcW w:type="dxa" w:w="1250"/>
            <w:shd w:fill="FFFFFF" w:val="clear"/>
          </w:tcPr>
          <w:p>
            <w:r>
              <w:rPr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900"/>
            <w:shd w:fill="DDEBF7" w:val="clear"/>
          </w:tcPr>
          <w:p>
            <w:r>
              <w:rPr>
                <w:b/>
                <w:bCs/>
                <w:color w:val="1F4E79"/>
                <w:sz w:val="17"/>
                <w:szCs w:val="17"/>
              </w:rPr>
              <w:t xml:space="preserve">GPU-LAPTOP</w:t>
            </w:r>
          </w:p>
        </w:tc>
        <w:tc>
          <w:tcPr>
            <w:tcW w:type="dxa" w:w="7090"/>
            <w:shd w:fill="F2F2F2" w:val="clear"/>
          </w:tcPr>
          <w:p>
            <w:r>
              <w:rPr>
                <w:sz w:val="17"/>
                <w:szCs w:val="17"/>
              </w:rPr>
              <w:t xml:space="preserve">Code and tooling ready; needs one command on the GPU laptop (docs/GPU_VALIDATION.md).</w:t>
            </w:r>
          </w:p>
        </w:tc>
        <w:tc>
          <w:tcPr>
            <w:tcW w:type="dxa" w:w="1250"/>
            <w:shd w:fill="F2F2F2" w:val="clear"/>
          </w:tcPr>
          <w:p>
            <w:r>
              <w:rPr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1900"/>
            <w:shd w:fill="EDEDED" w:val="clear"/>
          </w:tcPr>
          <w:p>
            <w:r>
              <w:rPr>
                <w:b/>
                <w:bCs/>
                <w:color w:val="404040"/>
                <w:sz w:val="17"/>
                <w:szCs w:val="17"/>
              </w:rPr>
              <w:t xml:space="preserve">DEFERRED</w:t>
            </w:r>
          </w:p>
        </w:tc>
        <w:tc>
          <w:tcPr>
            <w:tcW w:type="dxa" w:w="7090"/>
            <w:shd w:fill="FFFFFF" w:val="clear"/>
          </w:tcPr>
          <w:p>
            <w:r>
              <w:rPr>
                <w:sz w:val="17"/>
                <w:szCs w:val="17"/>
              </w:rPr>
              <w:t xml:space="preserve">Consciously not built yet; the reason is in the item's note.</w:t>
            </w:r>
          </w:p>
        </w:tc>
        <w:tc>
          <w:tcPr>
            <w:tcW w:type="dxa" w:w="1250"/>
            <w:shd w:fill="FFFFFF" w:val="clear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900"/>
            <w:shd w:fill="EAE4F2" w:val="clear"/>
          </w:tcPr>
          <w:p>
            <w:r>
              <w:rPr>
                <w:b/>
                <w:bCs/>
                <w:color w:val="4B2E83"/>
                <w:sz w:val="17"/>
                <w:szCs w:val="17"/>
              </w:rPr>
              <w:t xml:space="preserve">NON-CODE</w:t>
            </w:r>
          </w:p>
        </w:tc>
        <w:tc>
          <w:tcPr>
            <w:tcW w:type="dxa" w:w="7090"/>
            <w:shd w:fill="F2F2F2" w:val="clear"/>
          </w:tcPr>
          <w:p>
            <w:r>
              <w:rPr>
                <w:sz w:val="17"/>
                <w:szCs w:val="17"/>
              </w:rPr>
              <w:t xml:space="preserve">Business, legal or process work; no software change is appropriate.</w:t>
            </w:r>
          </w:p>
        </w:tc>
        <w:tc>
          <w:tcPr>
            <w:tcW w:type="dxa" w:w="1250"/>
            <w:shd w:fill="F2F2F2" w:val="clear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</w:tr>
    </w:tbl>
    <w:p>
      <w:pPr>
        <w:spacing w:after="140"/>
      </w:pPr>
    </w:p>
    <w:p>
      <w:pPr>
        <w:pStyle w:val="Heading2"/>
        <w:spacing w:after="100" w:before="220"/>
      </w:pPr>
      <w:r>
        <w:rPr/>
        <w:t xml:space="preserve">What changed in the code (highlights)</w:t>
      </w:r>
    </w:p>
    <w:p>
      <w:pPr>
        <w:spacing w:after="110"/>
      </w:pPr>
      <w:r>
        <w:rPr>
          <w:b/>
          <w:bCs/>
        </w:rPr>
        <w:t xml:space="preserve">Solver. </w:t>
      </w:r>
      <w:r>
        <w:rPr/>
        <w:t xml:space="preserve">Homogeneous self-dual fallback with verified Farkas certificates (39, 43); singleton-row presolve with exact dual recovery (41); Curtis-Reid geometric scaling (42); central tolerance module (49); condition-number diagnostic (50); deterministic B&amp;B tie-break (47).</w:t>
      </w:r>
    </w:p>
    <w:p>
      <w:pPr>
        <w:spacing w:after="110"/>
      </w:pPr>
      <w:r>
        <w:rPr>
          <w:b/>
          <w:bCs/>
        </w:rPr>
        <w:t xml:space="preserve">Security. </w:t>
      </w:r>
      <w:r>
        <w:rPr/>
        <w:t xml:space="preserve">Operator accounts with scrypt-hashed PINs, operator/supervisor/admin roles (safety-tagged sign-off needs a supervisor), CSRF protection, rate limits and lockout, authenticated WebSocket, HTTPS tooling, upload caps (21-29).</w:t>
      </w:r>
    </w:p>
    <w:p>
      <w:pPr>
        <w:spacing w:after="110"/>
      </w:pPr>
      <w:r>
        <w:rPr>
          <w:b/>
          <w:bCs/>
        </w:rPr>
        <w:t xml:space="preserve">Persistence. </w:t>
      </w:r>
      <w:r>
        <w:rPr/>
        <w:t xml:space="preserve">SQLite in WAL mode; every state change and its audit entry are written in one transaction, so a disk or write failure applies nothing (31, 33); backups with retention, external anchoring of the audit chain, versioned replay bundles (32-36).</w:t>
      </w:r>
    </w:p>
    <w:p>
      <w:pPr>
        <w:spacing w:after="110"/>
      </w:pPr>
      <w:r>
        <w:rPr>
          <w:b/>
          <w:bCs/>
        </w:rPr>
        <w:t xml:space="preserve">Operations. </w:t>
      </w:r>
      <w:r>
        <w:rPr/>
        <w:t xml:space="preserve">Structured logs, /health, /metrics, failure alerts, disk checks, graceful shutdown, fail-fast configuration, systemd units, Helm chart whose NetworkPolicy denies all egress (13, 76-83).</w:t>
      </w:r>
    </w:p>
    <w:p>
      <w:pPr>
        <w:spacing w:after="110"/>
      </w:pPr>
      <w:r>
        <w:rPr>
          <w:b/>
          <w:bCs/>
        </w:rPr>
        <w:t xml:space="preserve">NL gate. </w:t>
      </w:r>
      <w:r>
        <w:rPr/>
        <w:t xml:space="preserve">Red-team set with injection, decimal/unit slips, homoglyphs, relative and time-bounded wording; 100% parse accuracy and zero adversarial auto-accepts on the labelled set; parser/model version pinned in every audit record; SKU-2 builds refuse cloud mode at boot (95-101).</w:t>
      </w:r>
    </w:p>
    <w:p>
      <w:pPr>
        <w:spacing w:after="110"/>
      </w:pPr>
      <w:r>
        <w:rPr>
          <w:b/>
          <w:bCs/>
        </w:rPr>
        <w:t xml:space="preserve">Evidence. </w:t>
      </w:r>
      <w:r>
        <w:rPr/>
        <w:t xml:space="preserve">Tests grew from 77 to 741 (733 pass, 0 fail; 8 real-GPU tests skip on the CPU-only build machine); solver-package coverage 87% (IPM 95%, linear algebra 96%, presolve 97%, HSD 96%).</w:t>
      </w:r>
    </w:p>
    <w:p>
      <w:pPr>
        <w:pStyle w:val="Heading2"/>
        <w:spacing w:after="100" w:before="220"/>
      </w:pPr>
      <w:r>
        <w:rPr/>
        <w:t xml:space="preserve">Real defects found by the new tests — and fixed</w:t>
      </w:r>
    </w:p>
    <w:p>
      <w:pPr>
        <w:spacing w:after="110"/>
      </w:pPr>
      <w:r>
        <w:rPr>
          <w:b/>
          <w:bCs/>
        </w:rPr>
        <w:t xml:space="preserve">Badly scaled LPs (42). </w:t>
      </w:r>
      <w:r>
        <w:rPr/>
        <w:t xml:space="preserve">Rows spanning ten orders of magnitude did not converge: Ruiz scaling alone is not invariant to diagonal scaling. Fixed with Curtis-Reid scaling first.</w:t>
      </w:r>
    </w:p>
    <w:p>
      <w:pPr>
        <w:spacing w:after="110"/>
      </w:pPr>
      <w:r>
        <w:rPr>
          <w:b/>
          <w:bCs/>
        </w:rPr>
        <w:t xml:space="preserve">False 'infeasible' (42). </w:t>
      </w:r>
      <w:r>
        <w:rPr/>
        <w:t xml:space="preserve">When the phase-1 check itself failed, the old code reported 'infeasible'. It now reports 'feasibility unknown'.</w:t>
      </w:r>
    </w:p>
    <w:p>
      <w:pPr>
        <w:spacing w:after="110"/>
      </w:pPr>
      <w:r>
        <w:rPr>
          <w:b/>
          <w:bCs/>
        </w:rPr>
        <w:t xml:space="preserve">Premature 'unbounded' (39). </w:t>
      </w:r>
      <w:r>
        <w:rPr/>
        <w:t xml:space="preserve">Presolve declared an LP unbounded from an empty column before checking that the rest of the model was feasible.</w:t>
      </w:r>
    </w:p>
    <w:p>
      <w:pPr>
        <w:spacing w:after="110"/>
      </w:pPr>
      <w:r>
        <w:rPr>
          <w:b/>
          <w:bCs/>
        </w:rPr>
        <w:t xml:space="preserve">Degenerate boundary (39). </w:t>
      </w:r>
      <w:r>
        <w:rPr/>
        <w:t xml:space="preserve">Refinery plans set exactly at a feasibility boundary that v0.1 reported as 'unknown' now solve to optimality through the HSD fallback.</w:t>
      </w:r>
    </w:p>
    <w:p>
      <w:pPr>
        <w:pStyle w:val="Heading2"/>
        <w:spacing w:after="100" w:before="220"/>
      </w:pPr>
      <w:r>
        <w:rPr/>
        <w:t xml:space="preserve">Still open — needs the GPU laptop (one command each)</w:t>
      </w:r>
    </w:p>
    <w:p>
      <w:pPr>
        <w:spacing w:after="110"/>
      </w:pPr>
      <w:r>
        <w:rPr>
          <w:b/>
          <w:bCs/>
        </w:rPr>
        <w:t xml:space="preserve">Items 3, 19, 54, 55, 56, 58, 59, 60, 62, 64, 65, 94. </w:t>
      </w:r>
      <w:r>
        <w:rPr/>
        <w:t xml:space="preserve">Run the full test suite with CuPy installed, scripts/gpu_bench.py (CPU vs GPU factorisation, crossover size, accuracy, 30-60 minute thermal run, TCO inputs), scripts/check_gurobi.py (licence and GPU parameter names), and the local-LLM benchmark; then replace every 'not tested on GPU' line with the measured number. Checklist: docs/GPU_VALIDATION.md.</w:t>
      </w:r>
    </w:p>
    <w:p>
      <w:pPr>
        <w:pStyle w:val="Heading2"/>
        <w:spacing w:after="100" w:before="220"/>
      </w:pPr>
      <w:r>
        <w:rPr/>
        <w:t xml:space="preserve">Deferred, with reasons</w:t>
      </w:r>
    </w:p>
    <w:p>
      <w:pPr>
        <w:spacing w:after="110"/>
      </w:pPr>
      <w:r>
        <w:rPr>
          <w:b/>
          <w:bCs/>
        </w:rPr>
        <w:t xml:space="preserve">Item 18. </w:t>
      </w:r>
      <w:r>
        <w:rPr/>
        <w:t xml:space="preserve">Phase-2: the MVP has no multi-GPU/NCCL code (see #61).</w:t>
      </w:r>
    </w:p>
    <w:p>
      <w:pPr>
        <w:spacing w:after="110"/>
      </w:pPr>
      <w:r>
        <w:rPr>
          <w:b/>
          <w:bCs/>
        </w:rPr>
        <w:t xml:space="preserve">Item 40. </w:t>
      </w:r>
      <w:r>
        <w:rPr/>
        <w:t xml:space="preserve">Duals are verified KKT-optimal (degenerate multiplicity only)</w:t>
      </w:r>
    </w:p>
    <w:p>
      <w:pPr>
        <w:spacing w:after="110"/>
      </w:pPr>
      <w:r>
        <w:rPr>
          <w:b/>
          <w:bCs/>
        </w:rPr>
        <w:t xml:space="preserve">Item 44. </w:t>
      </w:r>
      <w:r>
        <w:rPr/>
        <w:t xml:space="preserve">1–2 weeks</w:t>
      </w:r>
    </w:p>
    <w:p>
      <w:pPr>
        <w:spacing w:after="110"/>
      </w:pPr>
      <w:r>
        <w:rPr>
          <w:b/>
          <w:bCs/>
        </w:rPr>
        <w:t xml:space="preserve">Item 45. </w:t>
      </w:r>
      <w:r>
        <w:rPr/>
        <w:t xml:space="preserve">Would break bit-exact replay unless a deterministic parallel scheme is designed.</w:t>
      </w:r>
    </w:p>
    <w:p>
      <w:pPr>
        <w:spacing w:after="110"/>
      </w:pPr>
      <w:r>
        <w:rPr>
          <w:b/>
          <w:bCs/>
        </w:rPr>
        <w:t xml:space="preserve">Item 46. </w:t>
      </w:r>
      <w:r>
        <w:rPr/>
        <w:t xml:space="preserve">IPM warm starts give about 1.3× at best (measured)</w:t>
      </w:r>
    </w:p>
    <w:p>
      <w:pPr>
        <w:spacing w:after="110"/>
      </w:pPr>
      <w:r>
        <w:rPr>
          <w:b/>
          <w:bCs/>
        </w:rPr>
        <w:t xml:space="preserve">Item 51. </w:t>
      </w:r>
      <w:r>
        <w:rPr/>
        <w:t xml:space="preserve">2–3 weeks</w:t>
      </w:r>
    </w:p>
    <w:p>
      <w:pPr>
        <w:spacing w:after="110"/>
      </w:pPr>
      <w:r>
        <w:rPr>
          <w:b/>
          <w:bCs/>
        </w:rPr>
        <w:t xml:space="preserve">Item 52. </w:t>
      </w:r>
      <w:r>
        <w:rPr/>
        <w:t xml:space="preserve">Semi-continuous variables can be modelled with a binary today.</w:t>
      </w:r>
    </w:p>
    <w:p>
      <w:pPr>
        <w:spacing w:after="110"/>
      </w:pPr>
      <w:r>
        <w:rPr>
          <w:b/>
          <w:bCs/>
        </w:rPr>
        <w:t xml:space="preserve">Item 104. </w:t>
      </w:r>
      <w:r>
        <w:rPr/>
        <w:t xml:space="preserve">The pilot artifacts are the signed release zip, the Docker image and the systemd unit</w:t>
      </w:r>
    </w:p>
    <w:p>
      <w:pPr>
        <w:pStyle w:val="Heading2"/>
        <w:spacing w:after="100" w:before="220"/>
      </w:pPr>
      <w:r>
        <w:rPr/>
        <w:t xml:space="preserve">Corrections to earlier text</w:t>
      </w:r>
    </w:p>
    <w:p>
      <w:pPr>
        <w:spacing w:after="110"/>
      </w:pPr>
      <w:r>
        <w:rPr>
          <w:b/>
          <w:bCs/>
        </w:rPr>
        <w:t xml:space="preserve">Netlib STAIR (11). </w:t>
      </w:r>
      <w:r>
        <w:rPr/>
        <w:t xml:space="preserve">Earlier versions list STAIR as +2.5126695 x 10^2 flagged MAX. Our recollection of Netlib's lp/data/readme is -2.5126695119E+02 in the standard minimise sense; this was not verified online. The software never hand-types these values: it reads Netlib's readme at run time.</w:t>
      </w:r>
    </w:p>
    <w:p>
      <w:pPr>
        <w:spacing w:after="110"/>
      </w:pPr>
      <w:r>
        <w:rPr>
          <w:b/>
          <w:bCs/>
        </w:rPr>
        <w:t xml:space="preserve">Items 17 and 61. </w:t>
      </w:r>
      <w:r>
        <w:rPr/>
        <w:t xml:space="preserve">The code has no shared multi-tenant queue and no NCCL/multi-GPU code, so there was nothing to disable or verify; both remain explicitly labelled as not built.</w:t>
      </w:r>
    </w:p>
    <w:p>
      <w:pPr>
        <w:spacing w:after="110"/>
      </w:pPr>
      <w:r>
        <w:rPr>
          <w:b/>
          <w:bCs/>
        </w:rPr>
        <w:t xml:space="preserve">Dependency choices. </w:t>
      </w:r>
      <w:r>
        <w:rPr/>
        <w:t xml:space="preserve">To keep air-gapped installs small, several fixes use the standard library instead of the suggested package: scrypt instead of bcrypt (21), built-in CSRF and rate limiting instead of fastapi-csrf-protect/slowapi (23, 24), numbered SQLite migrations instead of Alembic (38), seeded fuzzing instead of Hypothesis (67), a JSON log formatter instead of structlog (76).</w:t>
      </w:r>
    </w:p>
    <w:p>
      <w:pPr>
        <w:pBdr>
          <w:left w:val="single" w:color="B7472A" w:sz="12" w:space="8"/>
        </w:pBdr>
        <w:spacing w:after="160" w:before="80"/>
      </w:pPr>
      <w:r>
        <w:rPr>
          <w:i/>
          <w:iCs/>
        </w:rPr>
        <w:t xml:space="preserve">⚠ All speed numbers so far come from a CPU-only machine, where HiGHS is 3-15x faster. Do not quote a GPU speed figure until docs/GPU_VALIDATION.md has been completed on the GPU laptop; lead the pitch with sovereignty, auditability and explainability.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2026-09-29T11:25:11.370Z</dcterms:created>
  <dcterms:modified xsi:type="dcterms:W3CDTF">2026-09-29T11:25:11.378Z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