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39BD8" w14:textId="77777777" w:rsidR="00CC39A6" w:rsidRDefault="00F53363">
      <w:pPr>
        <w:pStyle w:val="Heading2"/>
      </w:pPr>
      <w:r>
        <w:t>Title and Abstract</w:t>
      </w:r>
    </w:p>
    <w:p w14:paraId="52AE82F6" w14:textId="77777777" w:rsidR="00CC39A6" w:rsidRDefault="00F53363">
      <w:r>
        <w:rPr>
          <w:b/>
        </w:rPr>
        <w:t>Candidate titles</w:t>
      </w:r>
    </w:p>
    <w:p w14:paraId="0BE2FAE0" w14:textId="77777777" w:rsidR="00CC39A6" w:rsidRDefault="00F53363">
      <w:pPr>
        <w:pStyle w:val="ListParagraph"/>
        <w:numPr>
          <w:ilvl w:val="0"/>
          <w:numId w:val="2"/>
        </w:numPr>
      </w:pPr>
      <w:r>
        <w:t>Carbon-Aware Traffic Engineering under Imperfect Forecasts: Balancing Emissions, Route Churn, and Service Constraints</w:t>
      </w:r>
    </w:p>
    <w:p w14:paraId="1DBF1F3F" w14:textId="77777777" w:rsidR="00CC39A6" w:rsidRDefault="00F53363">
      <w:pPr>
        <w:pStyle w:val="ListParagraph"/>
        <w:numPr>
          <w:ilvl w:val="0"/>
          <w:numId w:val="2"/>
        </w:numPr>
      </w:pPr>
      <w:r>
        <w:t>When Does Carbon-Aware Traffic Engineering Pay Off? Forecast Error, Route Churn, and Idle Power in Backbone Networks</w:t>
      </w:r>
    </w:p>
    <w:p w14:paraId="481E6C62" w14:textId="77777777" w:rsidR="00CC39A6" w:rsidRDefault="00F53363">
      <w:pPr>
        <w:pStyle w:val="ListParagraph"/>
        <w:numPr>
          <w:ilvl w:val="0"/>
          <w:numId w:val="2"/>
        </w:numPr>
      </w:pPr>
      <w:r>
        <w:t>EcoRouteAI: Forecast-Driven, Churn-Constrained Carbon-Aware Traffic Engineering for Software-Defined Backbones</w:t>
      </w:r>
    </w:p>
    <w:p w14:paraId="5230C3CB" w14:textId="77777777" w:rsidR="00CC39A6" w:rsidRDefault="00F53363">
      <w:pPr>
        <w:pStyle w:val="ListParagraph"/>
        <w:numPr>
          <w:ilvl w:val="0"/>
          <w:numId w:val="2"/>
        </w:numPr>
      </w:pPr>
      <w:r>
        <w:t>Rolling-Horizon Carbon-Aware Routing with Confidence-Gated Reconfiguration</w:t>
      </w:r>
    </w:p>
    <w:p w14:paraId="33D41492" w14:textId="77777777" w:rsidR="00CC39A6" w:rsidRDefault="00F53363">
      <w:r>
        <w:t>Title 2 is recommended: E1 showed negligible routing-only savings at realistic idle shares (Section 6.1). Titles 1 and 3 would need E2 to show that the proposed method works, which has not yet been tested.</w:t>
      </w:r>
    </w:p>
    <w:p w14:paraId="6A25E600" w14:textId="77777777" w:rsidR="00CC39A6" w:rsidRDefault="00F53363">
      <w:r>
        <w:rPr>
          <w:b/>
        </w:rPr>
        <w:t>Abstract (preliminary results — numbers to be updated after the reruns in Section 5.10)</w:t>
      </w:r>
    </w:p>
    <w:p w14:paraId="4AF57A59" w14:textId="77777777" w:rsidR="00CC39A6" w:rsidRDefault="00F53363">
      <w:r>
        <w:t>The electricity that powers a backbone network carries a carbon intensity that differs by region and changes by the hour, so the same routing decision can produce different emissions at different times. Carbon-aware routing studies have shown that pricing links by carbon intensity can lower modeled emissions, but they have evaluated static snapshots or typical days, have not acted on forecasts of future intensity, and have left the stability of the resulting routes unexamined. This paper asks under what net</w:t>
      </w:r>
      <w:r>
        <w:t>work, power-model and forecast-accuracy conditions carbon-aware traffic engineering can reduce modeled emissions while respecting link capacities and latency bounds, and at what cost in route changes. We formulate the problem as a rolling-horizon, path-based multi-commodity flow with hard capacity and latency constraints and an explicit route-change penalty, and we use perfect-foresight, myopic and forecast-driven variants of it to bound and test what routing can save. In a preliminary evaluation on a GÉANT</w:t>
      </w:r>
      <w:r>
        <w:t>-scale proxy network and on measured Abilene traffic matrices, a perfect-foresight carbon-aware router reduced modeled emissions by 3.18% relative to shortest-hop routing when device power was fully load-proportional, but by only 0.13% and 0.05% when idle power made up 50% and 80% of device power. On Abilene, no forecast-driven or perfect-foresight policy reduced emissions significantly relative to shortest-hop routing, while forecast-driven policies raised the share of traffic rerouted per hour from 6.6% t</w:t>
      </w:r>
      <w:r>
        <w:t>o between 10.7% and 14.7%. We derive a closed-form ceiling showing that the routing-dependent share of network power is limited jointly by the idle share and by network utilisation. The results indicate that, with current equipment, carbon-aware routing alone yields negligible modeled savings at a measurable cost in route churn, and that larger gains require power-proportional hardware, strongly heterogeneous regional grids, or deactivation strategies that avoid long detours.</w:t>
      </w:r>
    </w:p>
    <w:p w14:paraId="466374D5" w14:textId="77777777" w:rsidR="00CC39A6" w:rsidRDefault="00F53363">
      <w:r>
        <w:rPr>
          <w:b/>
        </w:rPr>
        <w:t>Index terms:</w:t>
      </w:r>
      <w:r>
        <w:t xml:space="preserve"> carbon-aware networking, traffic engineering, software-defined networking, energy efficiency, forecasting, routing stability.</w:t>
      </w:r>
    </w:p>
    <w:p w14:paraId="7085FAAC" w14:textId="77777777" w:rsidR="00CC39A6" w:rsidRDefault="00F53363">
      <w:pPr>
        <w:pStyle w:val="Heading2"/>
      </w:pPr>
      <w:r>
        <w:t>1 Introduction</w:t>
      </w:r>
    </w:p>
    <w:p w14:paraId="5EEE9CE2" w14:textId="77777777" w:rsidR="00CC39A6" w:rsidRDefault="00F53363">
      <w:r>
        <w:t xml:space="preserve">The energy consumed by communication networks has been treated as a first-class design concern for more than a decade, and power awareness has been argued to belong alongside performance and robustness in network design and routing [1], [2]. Yet the objectives that operational traffic engineering </w:t>
      </w:r>
      <w:r>
        <w:lastRenderedPageBreak/>
        <w:t xml:space="preserve">(TE) optimises remain performance objectives. Link-state routing distributes traffic over administratively weighted shortest paths whose weights can be tuned to control congestion [3], and centralised software-defined wide-area networks (WANs) solve flow allocations that maximise utilisation and fairness across expensive long-haul capacity [4], [5]. None of these objectives distinguishes </w:t>
      </w:r>
      <w:r>
        <w:rPr>
          <w:i/>
        </w:rPr>
        <w:t>where</w:t>
      </w:r>
      <w:r>
        <w:t xml:space="preserve"> or </w:t>
      </w:r>
      <w:r>
        <w:rPr>
          <w:i/>
        </w:rPr>
        <w:t>when</w:t>
      </w:r>
      <w:r>
        <w:t xml:space="preserve"> the electricity drawn by network equipment is generated. That distinction matters because the carbon intensity of electricity, the mass of CO₂-equivalent emitted per kilowatt-hour, differs between the grids that power different points of presence and changes from hour to hour within each grid. Two routings that consume identical energy can therefore cause different emissions, which motivates asking whether routing itself can be made carbon-aware.</w:t>
      </w:r>
    </w:p>
    <w:p w14:paraId="03056272" w14:textId="77777777" w:rsidR="00CC39A6" w:rsidRDefault="00F53363">
      <w:r>
        <w:t>Recent work has begun to answer this question. El-Zahr et al. replaced Open Shortest Path First (OSPF) link costs with carbon- and energy-related metrics and found that, on the GÉANT research network, the best passive metric reduced modeled emissions by 7.48% on average, rising to 9.68% when a heuristic also disabled lightly used, carbon-intensive links [6]. Inter-domain proposals such as CIRo route traffic across autonomous systems by forecast path carbon intensity [7], and workshop studies have priced lin</w:t>
      </w:r>
      <w:r>
        <w:t>ks by a weighted sum of latency and carbon [8] or by country-level time-varying intensity [9]. These studies establish that carbon-aware routing is feasible, but they also expose its central limitation: routing redistributes only the load-dependent part of device power, whereas the idle power of chassis, line cards and transceivers is consumed regardless of the routes chosen. El-Zahr et al. accordingly conclude that routing alone is insufficient for large reductions and that savings shrink as the idle share</w:t>
      </w:r>
      <w:r>
        <w:t xml:space="preserve"> of device power grows [6]. Whether carbon-aware routing is worthwhile therefore depends on the energy model as much as on the routing algorithm, which leads to the literature that has attacked idle power directly.</w:t>
      </w:r>
    </w:p>
    <w:p w14:paraId="009E68D0" w14:textId="77777777" w:rsidR="00CC39A6" w:rsidRDefault="00F53363">
      <w:r>
        <w:t>Energy-aware TE reduces idle power by concentrating traffic on a subset of the network so that the remaining links, line cards or switches can sleep. GreenTE formulated the selection of sleeping links and line cards as a mixed-integer program, evaluated a path-restricted heuristic on Abilene, GÉANT and two inferred ISP topologies, and reported line-card power reductions of 27% to 42% with maximum link utilisation held below 50% [10]. ElasticTree applied the same principle to data-centre fabrics [11], EATe r</w:t>
      </w:r>
      <w:r>
        <w:t>ealised it as an online, distributed protocol [12], and recent work has minimised active line cards with segment routing [13], [14] and with traffic-oblivious link deactivation [15]. These methods target energy rather than emissions, and most evaluate either single traffic snapshots or a fixed low-load period. Once carbon intensity enters the objective, however, the best routing changes with the grid as well as with traffic. A controller that pursues a time-varying target must decide in advance, and must th</w:t>
      </w:r>
      <w:r>
        <w:t>erefore rely on forecasts.</w:t>
      </w:r>
    </w:p>
    <w:p w14:paraId="5827AC49" w14:textId="77777777" w:rsidR="00CC39A6" w:rsidRDefault="00F53363">
      <w:r>
        <w:t xml:space="preserve">Forecasts of grid carbon intensity are available but imperfect. CarbonCast, for example, reports mean absolute percentage errors between 4.80% and 13.93% over a 96-hour horizon across six grids [16]. In carbon-aware computing, such forecasts have been used to shift flexible workloads in time [17], [18], and a systematic study found that simple scheduling policies capture most of the achievable reduction while the benefit shrinks as grids decarbonise [19]. Carbon-aware </w:t>
      </w:r>
      <w:r>
        <w:rPr>
          <w:i/>
        </w:rPr>
        <w:t>networking</w:t>
      </w:r>
      <w:r>
        <w:t xml:space="preserve"> has not yet absorbed these lessons: CIRo includes day-ahead forecasts in its design but evaluates at scale with annual-average intensities [7], El-Zahr et al. leave carbon prediction and route stabilisation explicitly to future work [6], and periodic weight updates in [8] are not evaluated for stability. Acting on forecasts implies changing routes as forecasts change, and route changes are not free.</w:t>
      </w:r>
    </w:p>
    <w:p w14:paraId="05094A41" w14:textId="77777777" w:rsidR="00CC39A6" w:rsidRDefault="00F53363">
      <w:r>
        <w:lastRenderedPageBreak/>
        <w:t>The TE literature has long recognised that responsive routing must be stable. Online multipath TE requires explicit control to avoid oscillation [20]; reconfiguring a software-defined network risks transient congestion unless updates are staged [5], [21]; and inter-domain routing damps flapping routes by penalising frequent changes [22]. A carbon-aware controller that follows hourly intensity fluctuations, each estimated with error, is exposed to exactly these risks while pursuing savings that may be only a</w:t>
      </w:r>
      <w:r>
        <w:t xml:space="preserve"> few percent. To the best of our knowledge, based on the search reported in Section 2, no study has jointly examined (i) time-varying carbon intensity with realistic forecast error, (ii) an explicit cost for changing routes, (iii) hard link-capacity and latency constraints, and (iv) a power model whose idle share is varied rather than fixed, on measured backbone traffic.</w:t>
      </w:r>
    </w:p>
    <w:p w14:paraId="507248E6" w14:textId="77777777" w:rsidR="00CC39A6" w:rsidRDefault="00F53363">
      <w:r>
        <w:t xml:space="preserve">This gap motivates the research question of this paper: </w:t>
      </w:r>
      <w:r>
        <w:rPr>
          <w:i/>
        </w:rPr>
        <w:t>under what network, power-model and forecast-accuracy conditions can forecast-aware, churn-conscious traffic engineering reduce modeled carbon emissions while maintaining latency and link-capacity requirements?</w:t>
      </w:r>
      <w:r>
        <w:t xml:space="preserve"> We pursue three objectives that follow from it. First, we bound the achievable saving with a perfect-foresight optimiser and test whether it survives realistic idle-power assumptions. Second, we design a deployable controller that acts on forecasts while limiting route changes. Third, we measure how much of the bound that controller retains, at what cost in reconfiguration, and how both depend on forecast accuracy.</w:t>
      </w:r>
    </w:p>
    <w:p w14:paraId="4B637C9E" w14:textId="77777777" w:rsidR="00CC39A6" w:rsidRDefault="00F53363">
      <w:r>
        <w:t>To answer the question we develop EcoRouteAI. It formulates carbon-aware TE as a rolling-horizon, path-based multi-commodity flow problem in which every routing respects link capacities and per-demand latency bounds, and in which the objective adds forecast emissions to a penalty on the traffic that would be moved. A new routing is committed only when the forecast saving, discounted by forecast uncertainty, exceeds that penalty. We evaluate EcoRouteAI on measured traffic matrices of GÉANT [23] and Abilene [</w:t>
      </w:r>
      <w:r>
        <w:t>24], distributed through SNDlib [25], paired with historical carbon-intensity data for the countries and balancing authorities in which their nodes are located [26]–[28]. Because no public dataset reports the power drawn by these networks' equipment, the power model is an explicit, documented assumption whose idle share is swept, and all emissions are reported as modeled quantities.</w:t>
      </w:r>
    </w:p>
    <w:p w14:paraId="42B083CD" w14:textId="77777777" w:rsidR="00CC39A6" w:rsidRDefault="00F53363">
      <w:r>
        <w:t>The contributions of this paper are as follows:</w:t>
      </w:r>
    </w:p>
    <w:p w14:paraId="08BD377A" w14:textId="77777777" w:rsidR="00CC39A6" w:rsidRDefault="00F53363">
      <w:pPr>
        <w:pStyle w:val="ListParagraph"/>
        <w:numPr>
          <w:ilvl w:val="0"/>
          <w:numId w:val="3"/>
        </w:numPr>
      </w:pPr>
      <w:r>
        <w:rPr>
          <w:b/>
        </w:rPr>
        <w:t>A bound on what routing can save, and why it is small.</w:t>
      </w:r>
      <w:r>
        <w:t xml:space="preserve"> We measure the perfect-foresight saving of carbon-aware routing across idle-power shares and show that it falls from 3.18% to 0.13% as the idle share rises from 0 to 0.5 (Section 6.1). We derive a closed-form ceiling that explains this collapse through the idle share and network utilisation together (Section 7.1).</w:t>
      </w:r>
    </w:p>
    <w:p w14:paraId="5E05FB4A" w14:textId="77777777" w:rsidR="00CC39A6" w:rsidRDefault="00F53363">
      <w:pPr>
        <w:pStyle w:val="ListParagraph"/>
        <w:numPr>
          <w:ilvl w:val="0"/>
          <w:numId w:val="3"/>
        </w:numPr>
      </w:pPr>
      <w:r>
        <w:rPr>
          <w:b/>
        </w:rPr>
        <w:t>Evidence on forecasts and route churn.</w:t>
      </w:r>
      <w:r>
        <w:t xml:space="preserve"> On measured Abilene traffic, forecast-driven carbon-aware routing produced no statistically significant emission reduction and raised hourly route churn by a factor of up to 2.2 relative to shortest-hop routing (Section 6.2).</w:t>
      </w:r>
    </w:p>
    <w:p w14:paraId="26863A06" w14:textId="77777777" w:rsidR="00CC39A6" w:rsidRDefault="00F53363">
      <w:pPr>
        <w:pStyle w:val="ListParagraph"/>
        <w:numPr>
          <w:ilvl w:val="0"/>
          <w:numId w:val="3"/>
        </w:numPr>
      </w:pPr>
      <w:r>
        <w:rPr>
          <w:b/>
        </w:rPr>
        <w:t>A stability-aware formulation.</w:t>
      </w:r>
      <w:r>
        <w:t xml:space="preserve"> We formulate carbon-aware TE with forecast emissions, hard service constraints and an explicit route-change cost, and propose a confidence-gated commit rule that ties reconfiguration to forecast uncertainty (Sections 3 and 4). Given the results of contribution 2, the rule's role is to prevent churn that buys no emission saving.</w:t>
      </w:r>
    </w:p>
    <w:p w14:paraId="066CC07D" w14:textId="77777777" w:rsidR="00CC39A6" w:rsidRDefault="00F53363">
      <w:pPr>
        <w:pStyle w:val="ListParagraph"/>
        <w:numPr>
          <w:ilvl w:val="0"/>
          <w:numId w:val="3"/>
        </w:numPr>
      </w:pPr>
      <w:r>
        <w:rPr>
          <w:b/>
        </w:rPr>
        <w:t>A reproducible hybrid evaluation protocol.</w:t>
      </w:r>
      <w:r>
        <w:t xml:space="preserve"> We specify how measured traffic can be paired with modern grid data, how leakage is prevented, which quantities are observed, modeled or synthetic, and which decisions were fixed before results were seen (Section 5).</w:t>
      </w:r>
    </w:p>
    <w:p w14:paraId="152139C1" w14:textId="77777777" w:rsidR="00CC39A6" w:rsidRDefault="00F53363">
      <w:r>
        <w:lastRenderedPageBreak/>
        <w:t>The remainder of the paper follows the argument above. Section 2 reviews energy-aware routing, carbon-aware routing, forecasting under uncertainty, routing stability and evaluation practice, and closes with a comparison matrix that locates the gap precisely. Section 3 defines the network, power and emissions model and states the optimisation problem. Section 4 describes the EcoRouteAI method that solves it, and Section 5 the datasets, baselines and statistical protocol used to test it. Section 6 reports the</w:t>
      </w:r>
      <w:r>
        <w:t xml:space="preserve"> results, Section 7 discusses their limits and implications, and Section 8 concludes.</w:t>
      </w:r>
    </w:p>
    <w:p w14:paraId="36B15963" w14:textId="77777777" w:rsidR="00CC39A6" w:rsidRDefault="00F53363">
      <w:pPr>
        <w:pStyle w:val="Heading2"/>
      </w:pPr>
      <w:r>
        <w:t>2 Related Work</w:t>
      </w:r>
    </w:p>
    <w:p w14:paraId="4CBEEE40" w14:textId="77777777" w:rsidR="00CC39A6" w:rsidRDefault="00F53363">
      <w:r>
        <w:t>Section 1 argued that the value of carbon-aware routing depends on four things: how much network power routing can actually change, how emissions are attributed to that power, how well future carbon intensity can be predicted, and what changing routes costs. This section reviews the literature along exactly those lines. Section 2.1 examines energy-aware routing and the power models it rests on; Section 2.2 the carbon-aware routing work built on top of it; Section 2.3 forecasting and decision-making under un</w:t>
      </w:r>
      <w:r>
        <w:t>certainty; Section 2.4 routing stability and reconfiguration cost; and Section 2.5 evaluation practice. Section 2.6 combines these threads into a comparison matrix that states the gap this paper addresses.</w:t>
      </w:r>
    </w:p>
    <w:p w14:paraId="53C6EB6F" w14:textId="77777777" w:rsidR="00CC39A6" w:rsidRDefault="00F53363">
      <w:pPr>
        <w:pStyle w:val="Heading3"/>
      </w:pPr>
      <w:r>
        <w:t>2.1 Energy-Aware Routing and Network Power Optimisation</w:t>
      </w:r>
    </w:p>
    <w:p w14:paraId="1142E788" w14:textId="77777777" w:rsidR="00CC39A6" w:rsidRDefault="00F53363">
      <w:r>
        <w:t>Early work established that network devices are poorly power-proportional, so that energy is saved mainly by switching components off rather than by spreading load differently. Chabarek et al. measured two router platforms, derived a power model composed of chassis and installed line cards, and used mixed-integer optimisation to show that power-aware network design and routing could yield significant savings [2]; the survey by Bianzino et al. reviews the techniques that grew from this observation [1]. The p</w:t>
      </w:r>
      <w:r>
        <w:t>ower models in later studies have kept this structure. GreenTE used line-card power values from vendor documentation [10], recent line-card minimisation work cites a vendor power calculator and assumes line-card power is nearly independent of load [13], and Van Heddeghem et al. expressed equipment power per unit of installed capacity rather than per unit of carried traffic [29]. Across these sources, then, the load-dependent component of power is treated as small, and savings come from changing which compon</w:t>
      </w:r>
      <w:r>
        <w:t>ents are active.</w:t>
      </w:r>
    </w:p>
    <w:p w14:paraId="4EB8F697" w14:textId="77777777" w:rsidR="00CC39A6" w:rsidRDefault="00F53363">
      <w:r>
        <w:t>Algorithms have followed the models. GreenTE selects sleeping links and line cards subject to a utilisation bound and, optionally, a path-length bound tied to the network diameter or to twice the shortest-path delay [10]. ElasticTree computes a minimal active subset of a data-centre fabric [11]. EATe achieves a comparable effect with a distributed online protocol in which sources shift traffic away from lightly used links after routers grant capacity through explicit feedback [12]. More recent work restrict</w:t>
      </w:r>
      <w:r>
        <w:t>s paths to two segment-routing segments to switch off ports and line cards in a Tier-1 ISP during an eight-hour low-load window [14], minimises active line cards under a 70% utilisation bound [13], and computes traffic-oblivious link deactivation with approximation guarantees [15]. These approaches share three properties that matter here. They optimise energy, not emissions; they evaluate either single traffic snapshots or one fixed low-load period; and they enforce capacity through a utilisation bound, wit</w:t>
      </w:r>
      <w:r>
        <w:t>h latency constrained only in some variants. Energy reduction alone, however, does not determine emissions when the electricity behind each device differs, which is the problem addressed by carbon-aware routing.</w:t>
      </w:r>
    </w:p>
    <w:p w14:paraId="28D8E2D0" w14:textId="77777777" w:rsidR="00CC39A6" w:rsidRDefault="00F53363">
      <w:pPr>
        <w:pStyle w:val="Heading3"/>
      </w:pPr>
      <w:r>
        <w:lastRenderedPageBreak/>
        <w:t>2.2 Carbon-Aware Routing and Traffic Engineering</w:t>
      </w:r>
    </w:p>
    <w:p w14:paraId="238204E1" w14:textId="77777777" w:rsidR="00CC39A6" w:rsidRDefault="00F53363">
      <w:r>
        <w:t>Carbon-aware routing assigns links a cost that reflects the emissions of the electricity they consume. The most thorough intra-domain study, by El-Zahr et al., compared metrics built from router idle power, incremental dynamic power and regional carbon intensity as OSPF link costs in ns-3 simulations of a 1,008-node national ISP and a 46-node GÉANT topology [6]. Power was modelled as an idle component plus a load-proportional component derived from public switch datasheets, and carbon intensity came from th</w:t>
      </w:r>
      <w:r>
        <w:t>e UK Carbon Intensity API and Electricity Maps for representative days. The best passive metric, carbon intensity combined with incremental dynamic power, saved 3.71% on daytime UK traffic and 7.48% on average on GÉANT, while a link-shutdown heuristic (CATE) raised savings to 17.96% and 9.68% respectively [6]. The authors state that routing changes only dynamic power, that savings fall as the idle-to-dynamic ratio rises, and that prediction, stabilisation and joint QoS optimisation remain open [6].</w:t>
      </w:r>
    </w:p>
    <w:p w14:paraId="4E01F1DF" w14:textId="77777777" w:rsidR="00CC39A6" w:rsidRDefault="00F53363">
      <w:r>
        <w:t>Other work has extended the idea in different directions. CIRo disseminates forecast carbon intensities of intra-domain paths through a path-aware inter-domain architecture and reports large simulated reductions, but its large-scale evaluation uses annual-average national intensities and it reports that about 5% of AS pairs see propagation delay more than doubled, which the authors note calls for latency-aware selection [7]. A weighted sum of normalised latency and carbon, solved with Dijkstra's algorithm o</w:t>
      </w:r>
      <w:r>
        <w:t>n three Topology Zoo networks over one simulated day, exposes the latency–carbon trade-off but imposes no hard latency bound and does not measure route stability [8]. A country-level time-varying model of global data transfers reports a 40.07% average reduction in a workshop paper whose data sources are not detailed [9]. Taken together, these studies treat carbon intensity as a link weight evaluated at the moment of decision, and those whose data sources are documented use average intensity. Average intensi</w:t>
      </w:r>
      <w:r>
        <w:t>ty describes the mix of generation behind consumed electricity, whereas the emissions avoided by a small change in demand depend on the marginal generator, which differs substantially across regions [30]. A routing study can legitimately report average-factor emissions, but it must state that choice. More importantly for this paper, a weight evaluated at the moment of decision ignores how intensity will change before the next decision, which raises the question of forecasting.</w:t>
      </w:r>
    </w:p>
    <w:p w14:paraId="3BA8D273" w14:textId="77777777" w:rsidR="00CC39A6" w:rsidRDefault="00F53363">
      <w:pPr>
        <w:pStyle w:val="Heading3"/>
      </w:pPr>
      <w:r>
        <w:t>2.3 Forecasting and Decision-Making under Uncertainty</w:t>
      </w:r>
    </w:p>
    <w:p w14:paraId="569E68D5" w14:textId="77777777" w:rsidR="00CC39A6" w:rsidRDefault="00F53363">
      <w:r>
        <w:t>Grid carbon intensity can be forecast at useful horizons. CarbonCast forecasts hourly intensity up to 96 hours ahead for six grids with mean absolute percentage errors between 4.80% and 13.93%, outperforming a seasonal ARIMA baseline and a source-level forecasting method [16]. Forecasts of this kind drive carbon-aware computing. Temporal workload shifting has been simulated with forecasts of varying accuracy [17]; a production system caps hourly datacenter capacity using next-day intensity and load forecast</w:t>
      </w:r>
      <w:r>
        <w:t>s [18]; and real-time placement of inference requests by marginal emissions has been evaluated, with the authors noting that their historical-data replay is an upper bound because forecast error would reduce realised savings [31]. A cross-region study of workload shifting further found that simple policies capture most of the achievable reduction and that the benefit shrinks as grids decarbonise [19]. Two lessons transfer to networking: a perfect-foresight result is an upper bound rather than a deployable o</w:t>
      </w:r>
      <w:r>
        <w:t>utcome, and sophisticated predictors must be compared with naive ones, such as persistence and seasonal-naive forecasts [32], before their added complexity can be justified.</w:t>
      </w:r>
    </w:p>
    <w:p w14:paraId="1628922B" w14:textId="77777777" w:rsidR="00CC39A6" w:rsidRDefault="00F53363">
      <w:r>
        <w:t xml:space="preserve">TE has its own tradition of decisions under uncertainty, focused on traffic rather than carbon. COPE optimises routing for predicted traffic matrices while bounding its performance under any traffic matrix [33], and the stability of responsive TE has been analysed explicitly [20]. Neither line of work involves a </w:t>
      </w:r>
      <w:r>
        <w:lastRenderedPageBreak/>
        <w:t>time-varying objective coefficient such as carbon intensity, and carbon-aware routing has not borrowed their robustness machinery: as noted in Section 2.2, CIRo's design includes forecasts but its evaluation does not exercise them [7], and the other studies decide on current values [6], [8]. A controller that does act on forecasts must re-optimise as forecasts are revised, and every re-optimisation that moves traffic has an operational cost. Section 2.4 therefore turns to what that cost is and how prior sys</w:t>
      </w:r>
      <w:r>
        <w:t>tems have controlled it.</w:t>
      </w:r>
    </w:p>
    <w:p w14:paraId="2D7C267B" w14:textId="77777777" w:rsidR="00CC39A6" w:rsidRDefault="00F53363">
      <w:pPr>
        <w:pStyle w:val="Heading3"/>
      </w:pPr>
      <w:r>
        <w:t>2.4 Routing Stability, Reconfiguration Cost and Service Constraints</w:t>
      </w:r>
    </w:p>
    <w:p w14:paraId="0EDD12A1" w14:textId="77777777" w:rsidR="00CC39A6" w:rsidRDefault="00F53363">
      <w:r>
        <w:t>Changing routes costs more than the computation that selects them. In online multipath TE, uncoordinated reactions to load can oscillate, and TeXCP was designed with a provably stable controller to prevent it [20]. In centralised SDN WANs, moving flows between paths can congest links transiently because switches apply updates at different times; SWAN keeps spare capacity on each link so that updates can be staged without overload [5], and Dionysus schedules updates dynamically according to their dependencie</w:t>
      </w:r>
      <w:r>
        <w:t>s, improving median update speed by 53–88% over static schedules [21]. In inter-domain routing, route flap damping assigns a penalty to each change and suppresses a route whose penalty exceeds a threshold until the penalty decays [22]. These mechanisms share a principle that carries over to carbon-aware routing: a change should be made only when its expected benefit exceeds its cost, and that cost should be represented explicitly rather than ignored.</w:t>
      </w:r>
    </w:p>
    <w:p w14:paraId="52206B13" w14:textId="77777777" w:rsidR="00CC39A6" w:rsidRDefault="00F53363">
      <w:r>
        <w:t>Energy-aware TE has paid partial attention to this principle. GreenTE reports that more than 70% of MPLS tunnels remain unchanged between successive adjustment periods [10], and EATe uses explicit feedback so that sources do not simultaneously overload a link they shift traffic onto [12]. Neither, however, prices route changes in its objective, and carbon-aware routing studies have not reported route-change frequency at all [6]–[8]. The same studies differ in how they protect service quality. GreenTE bounds</w:t>
      </w:r>
      <w:r>
        <w:t xml:space="preserve"> utilisation and, in some variants, path length [10]; El-Zahr et al. bound capacity in their link-shutdown heuristic but defer joint QoS optimisation [6]; the weighted-sum approach trades latency against carbon through a single coefficient without a hard bound [8]; and CIRo reports, but does not prevent, doubled delays for a fraction of pairs [7]. A carbon-aware controller intended for operational use therefore needs both a hard latency constraint and an explicit reconfiguration cost. Whether such a control</w:t>
      </w:r>
      <w:r>
        <w:t>ler saves anything worth the cost is, in turn, an empirical question whose answer depends on how it is evaluated.</w:t>
      </w:r>
    </w:p>
    <w:p w14:paraId="40B8A7C5" w14:textId="77777777" w:rsidR="00CC39A6" w:rsidRDefault="00F53363">
      <w:pPr>
        <w:pStyle w:val="Heading3"/>
      </w:pPr>
      <w:r>
        <w:t>2.5 Benchmarking and Evaluation Practice</w:t>
      </w:r>
    </w:p>
    <w:p w14:paraId="070911AD" w14:textId="77777777" w:rsidR="00CC39A6" w:rsidRDefault="00F53363">
      <w:r>
        <w:t>Measured traffic matrices for backbone networks are scarce and old. The GÉANT matrices were computed from IGP, sampled NetFlow and BGP data and published at 15-minute resolution over about four months [23]; the Abilene matrices were computed from NetFlow at 5-minute resolution [24]. SNDlib distributes both with node coordinates: 11,460 GÉANT matrices on a 22-node, 36-link topology spanning May to August 2005, and 48,096 Abilene matrices on a 12-node, 15-link topology spanning March to September 2004 [25]. T</w:t>
      </w:r>
      <w:r>
        <w:t>he SNDlib versions have known limitations: the GÉANT matrices are rescaled so that their peak values sum to 3 Tbit/s and the topology carries no installed capacities, while both datasets contain gaps that are documented in their readme files [25]. Repetita [34] supplies many Topology Zoo topologies [35] with synthetic demands for reproducible TE comparisons, but provides no time series. These datasets explain the evaluation choices of prior work. GreenTE used the Abilene and GÉANT matrices with vendor power</w:t>
      </w:r>
      <w:r>
        <w:t xml:space="preserve"> values [10]; El-Zahr et al. used representative days with datasheet </w:t>
      </w:r>
      <w:r>
        <w:lastRenderedPageBreak/>
        <w:t>power for proxy devices [6]; and line-card minimisation studies combine Repetita instances with proprietary ISP data [13], [14].</w:t>
      </w:r>
    </w:p>
    <w:p w14:paraId="01F7DCEA" w14:textId="77777777" w:rsidR="00CC39A6" w:rsidRDefault="00F53363">
      <w:r>
        <w:t xml:space="preserve">Three consequences follow for any study that combines measured traffic with carbon intensity. First, no public dataset reports the power drawn by the measured networks, so power is always modeled and its assumptions, above all the idle share, must be varied. Second, carbon-intensity data from public sources such as ENTSO-E [26], Electricity Maps [27] and the U.S. EIA-930 survey [28] begins long after the traffic was measured, so traffic and carbon must be paired by a declared protocol rather than presented </w:t>
      </w:r>
      <w:r>
        <w:t>as synchronised history. Third, results computed on one network may not transfer, so evaluation on more than one topology is needed. Section 2.6 combines these observations with those of Sections 2.1–2.4.</w:t>
      </w:r>
    </w:p>
    <w:p w14:paraId="1CE29FED" w14:textId="77777777" w:rsidR="00CC39A6" w:rsidRDefault="00F53363">
      <w:pPr>
        <w:pStyle w:val="Heading3"/>
      </w:pPr>
      <w:r>
        <w:t>2.6 Research Gap and Positioning</w:t>
      </w:r>
    </w:p>
    <w:p w14:paraId="3D1E134D" w14:textId="77777777" w:rsidR="00CC39A6" w:rsidRDefault="00F53363">
      <w:r>
        <w:t>Table 1 summarises the closest prior work along the dimensions that Sections 2.1–2.5 identified as decisive. Entries are taken from the papers themselves; "not reported" means we found no treatment in the text we accessed.</w:t>
      </w:r>
    </w:p>
    <w:p w14:paraId="45D75766" w14:textId="77777777" w:rsidR="00CC39A6" w:rsidRDefault="00F53363">
      <w:r>
        <w:rPr>
          <w:b/>
        </w:rPr>
        <w:t>Table 1.</w:t>
      </w:r>
      <w:r>
        <w:t xml:space="preserve"> Comparison of the closest prior work.</w:t>
      </w:r>
    </w:p>
    <w:tbl>
      <w:tblPr>
        <w:tblStyle w:val="TableGrid"/>
        <w:tblW w:w="0" w:type="auto"/>
        <w:tblLayout w:type="fixed"/>
        <w:tblLook w:val="0420" w:firstRow="1" w:lastRow="0" w:firstColumn="0" w:lastColumn="0" w:noHBand="0" w:noVBand="1"/>
      </w:tblPr>
      <w:tblGrid>
        <w:gridCol w:w="1170"/>
        <w:gridCol w:w="1170"/>
        <w:gridCol w:w="1170"/>
        <w:gridCol w:w="1170"/>
        <w:gridCol w:w="1170"/>
        <w:gridCol w:w="1170"/>
        <w:gridCol w:w="1170"/>
        <w:gridCol w:w="1170"/>
      </w:tblGrid>
      <w:tr w:rsidR="00CC39A6" w14:paraId="42EC4C43" w14:textId="77777777">
        <w:trPr>
          <w:tblHeader/>
        </w:trPr>
        <w:tc>
          <w:tcPr>
            <w:tcW w:w="1170" w:type="dxa"/>
            <w:shd w:val="clear" w:color="auto" w:fill="F2F2F2"/>
          </w:tcPr>
          <w:p w14:paraId="7140C981" w14:textId="77777777" w:rsidR="00CC39A6" w:rsidRDefault="00F53363">
            <w:r>
              <w:t>Work</w:t>
            </w:r>
          </w:p>
        </w:tc>
        <w:tc>
          <w:tcPr>
            <w:tcW w:w="1170" w:type="dxa"/>
            <w:shd w:val="clear" w:color="auto" w:fill="F2F2F2"/>
          </w:tcPr>
          <w:p w14:paraId="5D7F57D1" w14:textId="77777777" w:rsidR="00CC39A6" w:rsidRDefault="00F53363">
            <w:r>
              <w:t>Carbon intensity</w:t>
            </w:r>
          </w:p>
        </w:tc>
        <w:tc>
          <w:tcPr>
            <w:tcW w:w="1170" w:type="dxa"/>
            <w:shd w:val="clear" w:color="auto" w:fill="F2F2F2"/>
          </w:tcPr>
          <w:p w14:paraId="7958D3CD" w14:textId="77777777" w:rsidR="00CC39A6" w:rsidRDefault="00F53363">
            <w:r>
              <w:t>Forecasting</w:t>
            </w:r>
          </w:p>
        </w:tc>
        <w:tc>
          <w:tcPr>
            <w:tcW w:w="1170" w:type="dxa"/>
            <w:shd w:val="clear" w:color="auto" w:fill="F2F2F2"/>
          </w:tcPr>
          <w:p w14:paraId="5FC2485F" w14:textId="77777777" w:rsidR="00CC39A6" w:rsidRDefault="00F53363">
            <w:r>
              <w:t>Capacity constraint</w:t>
            </w:r>
          </w:p>
        </w:tc>
        <w:tc>
          <w:tcPr>
            <w:tcW w:w="1170" w:type="dxa"/>
            <w:shd w:val="clear" w:color="auto" w:fill="F2F2F2"/>
          </w:tcPr>
          <w:p w14:paraId="3B5F49BE" w14:textId="77777777" w:rsidR="00CC39A6" w:rsidRDefault="00F53363">
            <w:r>
              <w:t>Latency constraint</w:t>
            </w:r>
          </w:p>
        </w:tc>
        <w:tc>
          <w:tcPr>
            <w:tcW w:w="1170" w:type="dxa"/>
            <w:shd w:val="clear" w:color="auto" w:fill="F2F2F2"/>
          </w:tcPr>
          <w:p w14:paraId="519CC0B5" w14:textId="77777777" w:rsidR="00CC39A6" w:rsidRDefault="00F53363">
            <w:r>
              <w:t>Route-change cost</w:t>
            </w:r>
          </w:p>
        </w:tc>
        <w:tc>
          <w:tcPr>
            <w:tcW w:w="1170" w:type="dxa"/>
            <w:shd w:val="clear" w:color="auto" w:fill="F2F2F2"/>
          </w:tcPr>
          <w:p w14:paraId="0599D2EC" w14:textId="77777777" w:rsidR="00CC39A6" w:rsidRDefault="00F53363">
            <w:r>
              <w:t>Energy model</w:t>
            </w:r>
          </w:p>
        </w:tc>
        <w:tc>
          <w:tcPr>
            <w:tcW w:w="1170" w:type="dxa"/>
            <w:shd w:val="clear" w:color="auto" w:fill="F2F2F2"/>
          </w:tcPr>
          <w:p w14:paraId="793D622D" w14:textId="77777777" w:rsidR="00CC39A6" w:rsidRDefault="00F53363">
            <w:r>
              <w:t>Evaluation</w:t>
            </w:r>
          </w:p>
        </w:tc>
      </w:tr>
      <w:tr w:rsidR="00CC39A6" w14:paraId="629FB1A9" w14:textId="77777777">
        <w:tc>
          <w:tcPr>
            <w:tcW w:w="1170" w:type="dxa"/>
          </w:tcPr>
          <w:p w14:paraId="7E36802D" w14:textId="77777777" w:rsidR="00CC39A6" w:rsidRDefault="00F53363">
            <w:r>
              <w:t>GreenTE [10]</w:t>
            </w:r>
          </w:p>
        </w:tc>
        <w:tc>
          <w:tcPr>
            <w:tcW w:w="1170" w:type="dxa"/>
          </w:tcPr>
          <w:p w14:paraId="0BE03663" w14:textId="77777777" w:rsidR="00CC39A6" w:rsidRDefault="00F53363">
            <w:r>
              <w:t>No</w:t>
            </w:r>
          </w:p>
        </w:tc>
        <w:tc>
          <w:tcPr>
            <w:tcW w:w="1170" w:type="dxa"/>
          </w:tcPr>
          <w:p w14:paraId="33932724" w14:textId="77777777" w:rsidR="00CC39A6" w:rsidRDefault="00F53363">
            <w:r>
              <w:t>No</w:t>
            </w:r>
          </w:p>
        </w:tc>
        <w:tc>
          <w:tcPr>
            <w:tcW w:w="1170" w:type="dxa"/>
          </w:tcPr>
          <w:p w14:paraId="2F516C3E" w14:textId="77777777" w:rsidR="00CC39A6" w:rsidRDefault="00F53363">
            <w:r>
              <w:t>MLU ≤ 50%</w:t>
            </w:r>
          </w:p>
        </w:tc>
        <w:tc>
          <w:tcPr>
            <w:tcW w:w="1170" w:type="dxa"/>
          </w:tcPr>
          <w:p w14:paraId="61B24A08" w14:textId="77777777" w:rsidR="00CC39A6" w:rsidRDefault="00F53363">
            <w:r>
              <w:t>Optional path-length bound</w:t>
            </w:r>
          </w:p>
        </w:tc>
        <w:tc>
          <w:tcPr>
            <w:tcW w:w="1170" w:type="dxa"/>
          </w:tcPr>
          <w:p w14:paraId="0FCF0800" w14:textId="77777777" w:rsidR="00CC39A6" w:rsidRDefault="00F53363">
            <w:r>
              <w:t>Not priced; tunnel stability reported</w:t>
            </w:r>
          </w:p>
        </w:tc>
        <w:tc>
          <w:tcPr>
            <w:tcW w:w="1170" w:type="dxa"/>
          </w:tcPr>
          <w:p w14:paraId="14729B7B" w14:textId="77777777" w:rsidR="00CC39A6" w:rsidRDefault="00F53363">
            <w:r>
              <w:t>Vendor line-card power, on/off</w:t>
            </w:r>
          </w:p>
        </w:tc>
        <w:tc>
          <w:tcPr>
            <w:tcW w:w="1170" w:type="dxa"/>
          </w:tcPr>
          <w:p w14:paraId="0BC368FF" w14:textId="77777777" w:rsidR="00CC39A6" w:rsidRDefault="00F53363">
            <w:r>
              <w:t>Abilene, GÉANT matrices; 2 inferred ISP topologies</w:t>
            </w:r>
          </w:p>
        </w:tc>
      </w:tr>
      <w:tr w:rsidR="00CC39A6" w14:paraId="02B1B9FD" w14:textId="77777777">
        <w:tc>
          <w:tcPr>
            <w:tcW w:w="1170" w:type="dxa"/>
          </w:tcPr>
          <w:p w14:paraId="236F94FC" w14:textId="77777777" w:rsidR="00CC39A6" w:rsidRDefault="00F53363">
            <w:r>
              <w:t>EATe [12]</w:t>
            </w:r>
          </w:p>
        </w:tc>
        <w:tc>
          <w:tcPr>
            <w:tcW w:w="1170" w:type="dxa"/>
          </w:tcPr>
          <w:p w14:paraId="0AB3534E" w14:textId="77777777" w:rsidR="00CC39A6" w:rsidRDefault="00F53363">
            <w:r>
              <w:t>No</w:t>
            </w:r>
          </w:p>
        </w:tc>
        <w:tc>
          <w:tcPr>
            <w:tcW w:w="1170" w:type="dxa"/>
          </w:tcPr>
          <w:p w14:paraId="1C8F7CF4" w14:textId="77777777" w:rsidR="00CC39A6" w:rsidRDefault="00F53363">
            <w:r>
              <w:t>No</w:t>
            </w:r>
          </w:p>
        </w:tc>
        <w:tc>
          <w:tcPr>
            <w:tcW w:w="1170" w:type="dxa"/>
          </w:tcPr>
          <w:p w14:paraId="47B95729" w14:textId="77777777" w:rsidR="00CC39A6" w:rsidRDefault="00F53363">
            <w:r>
              <w:t>Bottleneck utilisation</w:t>
            </w:r>
          </w:p>
        </w:tc>
        <w:tc>
          <w:tcPr>
            <w:tcW w:w="1170" w:type="dxa"/>
          </w:tcPr>
          <w:p w14:paraId="2C51946A" w14:textId="77777777" w:rsidR="00CC39A6" w:rsidRDefault="00F53363">
            <w:r>
              <w:t>Not reported</w:t>
            </w:r>
          </w:p>
        </w:tc>
        <w:tc>
          <w:tcPr>
            <w:tcW w:w="1170" w:type="dxa"/>
          </w:tcPr>
          <w:p w14:paraId="50B77C26" w14:textId="77777777" w:rsidR="00CC39A6" w:rsidRDefault="00F53363">
            <w:r>
              <w:t>Feedback prevents overload; not priced</w:t>
            </w:r>
          </w:p>
        </w:tc>
        <w:tc>
          <w:tcPr>
            <w:tcW w:w="1170" w:type="dxa"/>
          </w:tcPr>
          <w:p w14:paraId="2A22AF3F" w14:textId="77777777" w:rsidR="00CC39A6" w:rsidRDefault="00F53363">
            <w:r>
              <w:t>Sleep states, rate adaptation</w:t>
            </w:r>
          </w:p>
        </w:tc>
        <w:tc>
          <w:tcPr>
            <w:tcW w:w="1170" w:type="dxa"/>
          </w:tcPr>
          <w:p w14:paraId="0FA9DDE1" w14:textId="77777777" w:rsidR="00CC39A6" w:rsidRDefault="00F53363">
            <w:r>
              <w:t>ns-2, Rocketfuel topologies</w:t>
            </w:r>
          </w:p>
        </w:tc>
      </w:tr>
      <w:tr w:rsidR="00CC39A6" w14:paraId="0694ABB7" w14:textId="77777777">
        <w:tc>
          <w:tcPr>
            <w:tcW w:w="1170" w:type="dxa"/>
          </w:tcPr>
          <w:p w14:paraId="7738C9B1" w14:textId="77777777" w:rsidR="00CC39A6" w:rsidRDefault="00F53363">
            <w:r>
              <w:t>Line-card minimisation [13], [14]</w:t>
            </w:r>
          </w:p>
        </w:tc>
        <w:tc>
          <w:tcPr>
            <w:tcW w:w="1170" w:type="dxa"/>
          </w:tcPr>
          <w:p w14:paraId="589E80A4" w14:textId="77777777" w:rsidR="00CC39A6" w:rsidRDefault="00F53363">
            <w:r>
              <w:t>No</w:t>
            </w:r>
          </w:p>
        </w:tc>
        <w:tc>
          <w:tcPr>
            <w:tcW w:w="1170" w:type="dxa"/>
          </w:tcPr>
          <w:p w14:paraId="53B9EF5D" w14:textId="77777777" w:rsidR="00CC39A6" w:rsidRDefault="00F53363">
            <w:r>
              <w:t>No</w:t>
            </w:r>
          </w:p>
        </w:tc>
        <w:tc>
          <w:tcPr>
            <w:tcW w:w="1170" w:type="dxa"/>
          </w:tcPr>
          <w:p w14:paraId="1F20B02F" w14:textId="77777777" w:rsidR="00CC39A6" w:rsidRDefault="00F53363">
            <w:r>
              <w:t>MLU ≤ 70%</w:t>
            </w:r>
          </w:p>
        </w:tc>
        <w:tc>
          <w:tcPr>
            <w:tcW w:w="1170" w:type="dxa"/>
          </w:tcPr>
          <w:p w14:paraId="4413B60B" w14:textId="77777777" w:rsidR="00CC39A6" w:rsidRDefault="00F53363">
            <w:r>
              <w:t>Not reported</w:t>
            </w:r>
          </w:p>
        </w:tc>
        <w:tc>
          <w:tcPr>
            <w:tcW w:w="1170" w:type="dxa"/>
          </w:tcPr>
          <w:p w14:paraId="433B9BF6" w14:textId="77777777" w:rsidR="00CC39A6" w:rsidRDefault="00F53363">
            <w:r>
              <w:t>Not priced; static for a low-load period [14]</w:t>
            </w:r>
          </w:p>
        </w:tc>
        <w:tc>
          <w:tcPr>
            <w:tcW w:w="1170" w:type="dxa"/>
          </w:tcPr>
          <w:p w14:paraId="60DB0FA5" w14:textId="77777777" w:rsidR="00CC39A6" w:rsidRDefault="00F53363">
            <w:r>
              <w:t>Line-card on/off proxy</w:t>
            </w:r>
          </w:p>
        </w:tc>
        <w:tc>
          <w:tcPr>
            <w:tcW w:w="1170" w:type="dxa"/>
          </w:tcPr>
          <w:p w14:paraId="4EF420A1" w14:textId="77777777" w:rsidR="00CC39A6" w:rsidRDefault="00F53363">
            <w:r>
              <w:t>Repetita + proprietary ISP data</w:t>
            </w:r>
          </w:p>
        </w:tc>
      </w:tr>
      <w:tr w:rsidR="00CC39A6" w14:paraId="226347E1" w14:textId="77777777">
        <w:tc>
          <w:tcPr>
            <w:tcW w:w="1170" w:type="dxa"/>
          </w:tcPr>
          <w:p w14:paraId="108C3C30" w14:textId="77777777" w:rsidR="00CC39A6" w:rsidRDefault="00F53363">
            <w:r>
              <w:t>El-Zahr et al. [6]</w:t>
            </w:r>
          </w:p>
        </w:tc>
        <w:tc>
          <w:tcPr>
            <w:tcW w:w="1170" w:type="dxa"/>
          </w:tcPr>
          <w:p w14:paraId="6EEDB375" w14:textId="77777777" w:rsidR="00CC39A6" w:rsidRDefault="00F53363">
            <w:r>
              <w:t xml:space="preserve">Yes, regional average, typical </w:t>
            </w:r>
            <w:r>
              <w:lastRenderedPageBreak/>
              <w:t>days</w:t>
            </w:r>
          </w:p>
        </w:tc>
        <w:tc>
          <w:tcPr>
            <w:tcW w:w="1170" w:type="dxa"/>
          </w:tcPr>
          <w:p w14:paraId="300A8E49" w14:textId="77777777" w:rsidR="00CC39A6" w:rsidRDefault="00F53363">
            <w:r>
              <w:lastRenderedPageBreak/>
              <w:t>No (future work)</w:t>
            </w:r>
          </w:p>
        </w:tc>
        <w:tc>
          <w:tcPr>
            <w:tcW w:w="1170" w:type="dxa"/>
          </w:tcPr>
          <w:p w14:paraId="200146E3" w14:textId="77777777" w:rsidR="00CC39A6" w:rsidRDefault="00F53363">
            <w:r>
              <w:t>Yes, in link-shutdown heuristic</w:t>
            </w:r>
          </w:p>
        </w:tc>
        <w:tc>
          <w:tcPr>
            <w:tcW w:w="1170" w:type="dxa"/>
          </w:tcPr>
          <w:p w14:paraId="6C092710" w14:textId="77777777" w:rsidR="00CC39A6" w:rsidRDefault="00F53363">
            <w:r>
              <w:t xml:space="preserve">No hard bound; path stretch </w:t>
            </w:r>
            <w:r>
              <w:lastRenderedPageBreak/>
              <w:t>reported</w:t>
            </w:r>
          </w:p>
        </w:tc>
        <w:tc>
          <w:tcPr>
            <w:tcW w:w="1170" w:type="dxa"/>
          </w:tcPr>
          <w:p w14:paraId="362C7E49" w14:textId="77777777" w:rsidR="00CC39A6" w:rsidRDefault="00F53363">
            <w:r>
              <w:lastRenderedPageBreak/>
              <w:t>Not reported</w:t>
            </w:r>
          </w:p>
        </w:tc>
        <w:tc>
          <w:tcPr>
            <w:tcW w:w="1170" w:type="dxa"/>
          </w:tcPr>
          <w:p w14:paraId="63F57888" w14:textId="77777777" w:rsidR="00CC39A6" w:rsidRDefault="00F53363">
            <w:r>
              <w:t xml:space="preserve">Idle + linear dynamic, datasheet </w:t>
            </w:r>
            <w:r>
              <w:lastRenderedPageBreak/>
              <w:t>proxies</w:t>
            </w:r>
          </w:p>
        </w:tc>
        <w:tc>
          <w:tcPr>
            <w:tcW w:w="1170" w:type="dxa"/>
          </w:tcPr>
          <w:p w14:paraId="5B1DD438" w14:textId="77777777" w:rsidR="00CC39A6" w:rsidRDefault="00F53363">
            <w:r>
              <w:lastRenderedPageBreak/>
              <w:t>ns-3; BT-UK, GÉANT (46 nodes)</w:t>
            </w:r>
          </w:p>
        </w:tc>
      </w:tr>
      <w:tr w:rsidR="00CC39A6" w14:paraId="01207DE9" w14:textId="77777777">
        <w:tc>
          <w:tcPr>
            <w:tcW w:w="1170" w:type="dxa"/>
          </w:tcPr>
          <w:p w14:paraId="55C94CEB" w14:textId="77777777" w:rsidR="00CC39A6" w:rsidRDefault="00F53363">
            <w:r>
              <w:t>CIRo [7]</w:t>
            </w:r>
          </w:p>
        </w:tc>
        <w:tc>
          <w:tcPr>
            <w:tcW w:w="1170" w:type="dxa"/>
          </w:tcPr>
          <w:p w14:paraId="2698A678" w14:textId="77777777" w:rsidR="00CC39A6" w:rsidRDefault="00F53363">
            <w:r>
              <w:t>Yes; annual national averages at scale</w:t>
            </w:r>
          </w:p>
        </w:tc>
        <w:tc>
          <w:tcPr>
            <w:tcW w:w="1170" w:type="dxa"/>
          </w:tcPr>
          <w:p w14:paraId="49370DEE" w14:textId="77777777" w:rsidR="00CC39A6" w:rsidRDefault="00F53363">
            <w:r>
              <w:t>In design; not exercised at scale</w:t>
            </w:r>
          </w:p>
        </w:tc>
        <w:tc>
          <w:tcPr>
            <w:tcW w:w="1170" w:type="dxa"/>
          </w:tcPr>
          <w:p w14:paraId="601E301C" w14:textId="77777777" w:rsidR="00CC39A6" w:rsidRDefault="00F53363">
            <w:r>
              <w:t>Not reported</w:t>
            </w:r>
          </w:p>
        </w:tc>
        <w:tc>
          <w:tcPr>
            <w:tcW w:w="1170" w:type="dxa"/>
          </w:tcPr>
          <w:p w14:paraId="01289B69" w14:textId="77777777" w:rsidR="00CC39A6" w:rsidRDefault="00F53363">
            <w:r>
              <w:t>No; delay doubling reported for ~5% of pairs</w:t>
            </w:r>
          </w:p>
        </w:tc>
        <w:tc>
          <w:tcPr>
            <w:tcW w:w="1170" w:type="dxa"/>
          </w:tcPr>
          <w:p w14:paraId="0DDEBA94" w14:textId="77777777" w:rsidR="00CC39A6" w:rsidRDefault="00F53363">
            <w:r>
              <w:t>Not reported</w:t>
            </w:r>
          </w:p>
        </w:tc>
        <w:tc>
          <w:tcPr>
            <w:tcW w:w="1170" w:type="dxa"/>
          </w:tcPr>
          <w:p w14:paraId="34A8726B" w14:textId="77777777" w:rsidR="00CC39A6" w:rsidRDefault="00F53363">
            <w:r>
              <w:t>Device energy intensity</w:t>
            </w:r>
          </w:p>
        </w:tc>
        <w:tc>
          <w:tcPr>
            <w:tcW w:w="1170" w:type="dxa"/>
          </w:tcPr>
          <w:p w14:paraId="3D3A501F" w14:textId="77777777" w:rsidR="00CC39A6" w:rsidRDefault="00F53363">
            <w:r>
              <w:t>2,000-AS simulation, synthetic traffic</w:t>
            </w:r>
          </w:p>
        </w:tc>
      </w:tr>
      <w:tr w:rsidR="00CC39A6" w14:paraId="714639FF" w14:textId="77777777">
        <w:tc>
          <w:tcPr>
            <w:tcW w:w="1170" w:type="dxa"/>
          </w:tcPr>
          <w:p w14:paraId="568AF7C2" w14:textId="77777777" w:rsidR="00CC39A6" w:rsidRDefault="00F53363">
            <w:r>
              <w:t>Weighted latency–carbon [8]</w:t>
            </w:r>
          </w:p>
        </w:tc>
        <w:tc>
          <w:tcPr>
            <w:tcW w:w="1170" w:type="dxa"/>
          </w:tcPr>
          <w:p w14:paraId="2C4FBC73" w14:textId="77777777" w:rsidR="00CC39A6" w:rsidRDefault="00F53363">
            <w:r>
              <w:t>Yes, hourly, one day</w:t>
            </w:r>
          </w:p>
        </w:tc>
        <w:tc>
          <w:tcPr>
            <w:tcW w:w="1170" w:type="dxa"/>
          </w:tcPr>
          <w:p w14:paraId="09FD4718" w14:textId="77777777" w:rsidR="00CC39A6" w:rsidRDefault="00F53363">
            <w:r>
              <w:t>No</w:t>
            </w:r>
          </w:p>
        </w:tc>
        <w:tc>
          <w:tcPr>
            <w:tcW w:w="1170" w:type="dxa"/>
          </w:tcPr>
          <w:p w14:paraId="549D29DA" w14:textId="77777777" w:rsidR="00CC39A6" w:rsidRDefault="00F53363">
            <w:r>
              <w:t>Not reported</w:t>
            </w:r>
          </w:p>
        </w:tc>
        <w:tc>
          <w:tcPr>
            <w:tcW w:w="1170" w:type="dxa"/>
          </w:tcPr>
          <w:p w14:paraId="2C5B6AA3" w14:textId="77777777" w:rsidR="00CC39A6" w:rsidRDefault="00F53363">
            <w:r>
              <w:t>No; weighted trade-off</w:t>
            </w:r>
          </w:p>
        </w:tc>
        <w:tc>
          <w:tcPr>
            <w:tcW w:w="1170" w:type="dxa"/>
          </w:tcPr>
          <w:p w14:paraId="4A16ABE8" w14:textId="77777777" w:rsidR="00CC39A6" w:rsidRDefault="00F53363">
            <w:r>
              <w:t>Not measured</w:t>
            </w:r>
          </w:p>
        </w:tc>
        <w:tc>
          <w:tcPr>
            <w:tcW w:w="1170" w:type="dxa"/>
          </w:tcPr>
          <w:p w14:paraId="62CDC210" w14:textId="77777777" w:rsidR="00CC39A6" w:rsidRDefault="00F53363">
            <w:r>
              <w:t>Interface power values</w:t>
            </w:r>
          </w:p>
        </w:tc>
        <w:tc>
          <w:tcPr>
            <w:tcW w:w="1170" w:type="dxa"/>
          </w:tcPr>
          <w:p w14:paraId="0A9AD767" w14:textId="77777777" w:rsidR="00CC39A6" w:rsidRDefault="00F53363">
            <w:r>
              <w:t>3 Topology Zoo networks</w:t>
            </w:r>
          </w:p>
        </w:tc>
      </w:tr>
      <w:tr w:rsidR="00CC39A6" w14:paraId="02A6626F" w14:textId="77777777">
        <w:tc>
          <w:tcPr>
            <w:tcW w:w="1170" w:type="dxa"/>
          </w:tcPr>
          <w:p w14:paraId="2E2BD297" w14:textId="77777777" w:rsidR="00CC39A6" w:rsidRDefault="00F53363">
            <w:r>
              <w:rPr>
                <w:b/>
              </w:rPr>
              <w:t>This work</w:t>
            </w:r>
          </w:p>
        </w:tc>
        <w:tc>
          <w:tcPr>
            <w:tcW w:w="1170" w:type="dxa"/>
          </w:tcPr>
          <w:p w14:paraId="623AB482" w14:textId="77777777" w:rsidR="00CC39A6" w:rsidRDefault="00F53363">
            <w:r>
              <w:t>Yes, hourly, multi-year</w:t>
            </w:r>
          </w:p>
        </w:tc>
        <w:tc>
          <w:tcPr>
            <w:tcW w:w="1170" w:type="dxa"/>
          </w:tcPr>
          <w:p w14:paraId="012BCE46" w14:textId="77777777" w:rsidR="00CC39A6" w:rsidRDefault="00F53363">
            <w:r>
              <w:t>Yes; naive and learned, error measured</w:t>
            </w:r>
          </w:p>
        </w:tc>
        <w:tc>
          <w:tcPr>
            <w:tcW w:w="1170" w:type="dxa"/>
          </w:tcPr>
          <w:p w14:paraId="08950E41" w14:textId="77777777" w:rsidR="00CC39A6" w:rsidRDefault="00F53363">
            <w:r>
              <w:t>Yes, hard</w:t>
            </w:r>
          </w:p>
        </w:tc>
        <w:tc>
          <w:tcPr>
            <w:tcW w:w="1170" w:type="dxa"/>
          </w:tcPr>
          <w:p w14:paraId="59507747" w14:textId="77777777" w:rsidR="00CC39A6" w:rsidRDefault="00F53363">
            <w:r>
              <w:t>Yes, hard per demand</w:t>
            </w:r>
          </w:p>
        </w:tc>
        <w:tc>
          <w:tcPr>
            <w:tcW w:w="1170" w:type="dxa"/>
          </w:tcPr>
          <w:p w14:paraId="7EFCD5D0" w14:textId="77777777" w:rsidR="00CC39A6" w:rsidRDefault="00F53363">
            <w:r>
              <w:t>Yes, explicit penalty and commit rule</w:t>
            </w:r>
          </w:p>
        </w:tc>
        <w:tc>
          <w:tcPr>
            <w:tcW w:w="1170" w:type="dxa"/>
          </w:tcPr>
          <w:p w14:paraId="44A38E30" w14:textId="77777777" w:rsidR="00CC39A6" w:rsidRDefault="00F53363">
            <w:r>
              <w:t>Idle + dynamic, idle share swept; optional sleeping</w:t>
            </w:r>
          </w:p>
        </w:tc>
        <w:tc>
          <w:tcPr>
            <w:tcW w:w="1170" w:type="dxa"/>
          </w:tcPr>
          <w:p w14:paraId="5192AA91" w14:textId="77777777" w:rsidR="00CC39A6" w:rsidRDefault="00F53363">
            <w:r>
              <w:t>GÉANT and Abilene measured matrices + grid data</w:t>
            </w:r>
          </w:p>
        </w:tc>
      </w:tr>
    </w:tbl>
    <w:p w14:paraId="441AE310" w14:textId="77777777" w:rsidR="00CC39A6" w:rsidRDefault="00F53363">
      <w:r>
        <w:t>The table supports a specific claim and rules out a broader one. No row before ours combines forecast-driven decisions, a priced route-change cost, hard capacity and latency constraints, and a swept power model on measured traffic. Each ingredient, however, is established on its own: rolling-horizon optimisation, switching penalties and confidence-based thresholds are standard tools, and the evidence of Sections 2.1 and 2.2 suggests that routing-only savings may be small. We therefore position this paper as</w:t>
      </w:r>
      <w:r>
        <w:t xml:space="preserve"> a </w:t>
      </w:r>
      <w:r>
        <w:rPr>
          <w:i/>
        </w:rPr>
        <w:t>rigorous extension and evaluation</w:t>
      </w:r>
      <w:r>
        <w:t xml:space="preserve"> of carbon-aware TE, not as a new algorithmic paradigm. Its contribution stands or falls on two things: an honest bound on what routing can save, and a measured answer to how much of that bound a stable, forecast-driven controller can keep. Section 3 formalises the quantities needed to obtain both.</w:t>
      </w:r>
    </w:p>
    <w:p w14:paraId="5685B322" w14:textId="77777777" w:rsidR="00CC39A6" w:rsidRDefault="00F53363">
      <w:pPr>
        <w:pStyle w:val="Heading2"/>
      </w:pPr>
      <w:r>
        <w:t>3 System Model and Problem Formulation</w:t>
      </w:r>
    </w:p>
    <w:p w14:paraId="6235F36B" w14:textId="77777777" w:rsidR="00CC39A6" w:rsidRDefault="00F53363">
      <w:r>
        <w:t>Section 2.6 concluded that answering the research question requires two quantities that prior work has not computed together: a bound on the emissions routing can save under hard service constraints, and the saving retained by a forecast-driven controller once route changes are priced. This section defines the model in which both are computed. Section 3.1 introduces the network and traffic; Section 3.2 latency and candidate paths; Section 3.3 the power model; Section 3.4 emissions accounting; Section 3.5 ro</w:t>
      </w:r>
      <w:r>
        <w:t>ute change; and Section 3.6 the optimisation problems. Table 2 collects the notation.</w:t>
      </w:r>
    </w:p>
    <w:p w14:paraId="4AC8486E" w14:textId="77777777" w:rsidR="00CC39A6" w:rsidRDefault="00F53363">
      <w:pPr>
        <w:pStyle w:val="Heading3"/>
      </w:pPr>
      <w:r>
        <w:t>3.1 Network and Traffic</w:t>
      </w:r>
    </w:p>
    <w:p w14:paraId="008F87C5" w14:textId="77777777" w:rsidR="00CC39A6" w:rsidRDefault="00F53363">
      <w:r>
        <w:t xml:space="preserve">The network is a directed graph G = (V, E). Each node v ∈ V is a point of presence, and each link e ∈ E has capacity C_e (Gbit/s). Time is divided into slots t = 1, …, T of length Δ, equal to the measurement interval of the traffic data. A demand k ∈ K is an ordered origin–destination pair (o_k, d_k) with rate D_k(t) ≥ 0 in </w:t>
      </w:r>
      <w:r>
        <w:lastRenderedPageBreak/>
        <w:t>slot t. Traffic of a demand may be split across several paths, which matches the multipath forwarding that SDN controllers and segment routing can install [4], [5].</w:t>
      </w:r>
    </w:p>
    <w:p w14:paraId="1D5841F2" w14:textId="77777777" w:rsidR="00CC39A6" w:rsidRDefault="00F53363">
      <w:pPr>
        <w:pStyle w:val="Heading3"/>
      </w:pPr>
      <w:r>
        <w:t>3.2 Latency and Candidate Paths</w:t>
      </w:r>
    </w:p>
    <w:p w14:paraId="5DE6AF4A" w14:textId="77777777" w:rsidR="00CC39A6" w:rsidRDefault="00F53363">
      <w:r>
        <w:t>Each link has a propagation delay δ_e derived from the great-circle distance between its end nodes, a fibre detour factor and the propagation speed in fibre (Section 5.2). A path p has delay δ_p = Σ_{e∈p} δ_e. Each demand has a latency bound L_k, and its candidate path set P_k contains up to N simple paths from o_k to d_k with δ_p ≤ L_k, generated in order of increasing delay. Restricting optimisation to a candidate set keeps the problem polynomial in size, a choice also made by GreenTE [10]; its cost is th</w:t>
      </w:r>
      <w:r>
        <w:t>at the optimum over P_k may be worse than the optimum over all paths, which Section 6 measures by varying N. Queueing delay is not modelled. Instead, utilisation is capped at u_max &lt; 1, a common proxy that Section 7 discusses as a limitation.</w:t>
      </w:r>
    </w:p>
    <w:p w14:paraId="75DF8F12" w14:textId="77777777" w:rsidR="00CC39A6" w:rsidRDefault="00F53363">
      <w:r>
        <w:t>The routing in slot t is the vector x(t) of split fractions x_{kp}(t) ∈ [0, 1], with Σ_{p∈P_k} x_{kp}(t) = 1. The load of link e is</w:t>
      </w:r>
    </w:p>
    <w:p w14:paraId="1C809E53" w14:textId="77777777" w:rsidR="00CC39A6" w:rsidRDefault="00F53363">
      <w:pPr>
        <w:pStyle w:val="Code"/>
      </w:pPr>
      <w:bookmarkStart w:id="0" w:name="bongo_lang_latex_1"/>
      <w:bookmarkEnd w:id="0"/>
      <w:r>
        <w:t>y_e(t) = \sum_{k \in K} \sum_{p \in P_k : e \in p} D_k(t)\, x_{kp}(t). \tag{1}</w:t>
      </w:r>
    </w:p>
    <w:p w14:paraId="0D46A881" w14:textId="77777777" w:rsidR="00CC39A6" w:rsidRDefault="00F53363">
      <w:pPr>
        <w:pStyle w:val="Heading3"/>
      </w:pPr>
      <w:r>
        <w:t>3.3 Power Model</w:t>
      </w:r>
    </w:p>
    <w:p w14:paraId="6ABB01E0" w14:textId="77777777" w:rsidR="00CC39A6" w:rsidRDefault="00F53363">
      <w:r>
        <w:t>No public dataset reports the power drawn by the equipment of the networks we study (Section 2.5), so device power is a modeled quantity. We adopt the idle-plus-proportional structure common to prior work [2], [6] and expose its decisive parameter. Node v has a reference maximum power P^max_v and a switching capacity Γ_v, both taken from equipment datasheets (Section 5.3). Its traffic throughput is the sum of the loads on its outgoing links plus the traffic it delivers locally, written ℓ_v(x, t). With an id</w:t>
      </w:r>
      <w:r>
        <w:t>le share ρ ∈ [0, 1], node power is</w:t>
      </w:r>
    </w:p>
    <w:p w14:paraId="2343E43D" w14:textId="77777777" w:rsidR="00CC39A6" w:rsidRDefault="00F53363">
      <w:pPr>
        <w:pStyle w:val="Code"/>
      </w:pPr>
      <w:bookmarkStart w:id="1" w:name="bongo_lang_latex_2"/>
      <w:bookmarkEnd w:id="1"/>
      <w:r>
        <w:t>P_v(x, t) = \rho\, P^{\max}_v + (1-\rho)\, P^{\max}_v \, \frac{\ell_v(x, t)}{\Gamma_v}. \tag{2}</w:t>
      </w:r>
    </w:p>
    <w:p w14:paraId="7E97C748" w14:textId="77777777" w:rsidR="00CC39A6" w:rsidRDefault="00F53363">
      <w:r>
        <w:t>The idle term ρP^max_v does not depend on routing; only the second term does. Equation (2) therefore makes explicit the effect identified in [6]: as ρ approaches the 75–80% reported there for chassis routers, the routing-dependent share of power shrinks to the remaining 20–25%. Rather than fix ρ, we sweep it. When the optional sleeping extension is enabled (Section 4.6), each link additionally has a binary activity variable a_e(t), and the port power of both ends, P^port_e, is consumed only when a_e(t) = 1;</w:t>
      </w:r>
      <w:r>
        <w:t xml:space="preserve"> links with a_e(t) = 0 must carry no load.</w:t>
      </w:r>
    </w:p>
    <w:p w14:paraId="1FC50E2B" w14:textId="77777777" w:rsidR="00CC39A6" w:rsidRDefault="00F53363">
      <w:pPr>
        <w:pStyle w:val="Heading3"/>
      </w:pPr>
      <w:r>
        <w:t>3.4 Emissions Accounting</w:t>
      </w:r>
    </w:p>
    <w:p w14:paraId="65BD4895" w14:textId="77777777" w:rsidR="00CC39A6" w:rsidRDefault="00F53363">
      <w:r>
        <w:t xml:space="preserve">Four quantities are easily confused, so we define them separately. </w:t>
      </w:r>
      <w:r>
        <w:rPr>
          <w:i/>
        </w:rPr>
        <w:t>Energy</w:t>
      </w:r>
      <w:r>
        <w:t xml:space="preserve"> is power integrated over time, E_v(t) = P_v(x, t)Δ, in kWh. </w:t>
      </w:r>
      <w:r>
        <w:rPr>
          <w:i/>
        </w:rPr>
        <w:t>Carbon intensity</w:t>
      </w:r>
      <w:r>
        <w:t xml:space="preserve"> I_z(t), in gCO₂e/kWh, describes the electricity of grid zone z in slot t; each node v belongs to one zone z(v). </w:t>
      </w:r>
      <w:r>
        <w:rPr>
          <w:i/>
        </w:rPr>
        <w:t>Emissions</w:t>
      </w:r>
      <w:r>
        <w:t xml:space="preserve"> combine the two:</w:t>
      </w:r>
    </w:p>
    <w:p w14:paraId="2996687A" w14:textId="77777777" w:rsidR="00CC39A6" w:rsidRDefault="00F53363">
      <w:pPr>
        <w:pStyle w:val="Code"/>
      </w:pPr>
      <w:bookmarkStart w:id="2" w:name="bongo_lang_latex_3"/>
      <w:bookmarkEnd w:id="2"/>
      <w:r>
        <w:t>M(x, t) = \sum_{v \in V} I_{z(v)}(t)\, P_v(x, t)\, \Delta. \tag{3}</w:t>
      </w:r>
    </w:p>
    <w:p w14:paraId="0A32DCD3" w14:textId="77777777" w:rsidR="00CC39A6" w:rsidRDefault="00F53363">
      <w:r>
        <w:t xml:space="preserve">A </w:t>
      </w:r>
      <w:r>
        <w:rPr>
          <w:i/>
        </w:rPr>
        <w:t>routing cost</w:t>
      </w:r>
      <w:r>
        <w:t xml:space="preserve"> such as a carbon-weighted link metric [6], [8] is a weight that guides path selection; it is not an emission quantity, and a reduction in it does not by itself imply a reduction in M. All results in Section 6 are reported as values of M and E, computed from (2) and (3), and the routing-dependent part of M is reported separately from the idle part:</w:t>
      </w:r>
    </w:p>
    <w:p w14:paraId="5C4E4F96" w14:textId="77777777" w:rsidR="00CC39A6" w:rsidRDefault="00F53363">
      <w:pPr>
        <w:pStyle w:val="Code"/>
      </w:pPr>
      <w:bookmarkStart w:id="3" w:name="bongo_lang_latex_4"/>
      <w:bookmarkEnd w:id="3"/>
      <w:r>
        <w:lastRenderedPageBreak/>
        <w:t>M(x, t) = \underbrace{\sum_{v} I_{z(v)}(t)\, \rho P^{\max}_v \Delta}_{\text{independent of } x} \; + \; \underbrace{\sum_{v} I_{z(v)}(t)\, (1-\rho) P^{\max}_v \frac{\ell_v(x,t)}{\Gamma_v} \Delta}_{\text{routing-dependent}}. \tag{4}</w:t>
      </w:r>
    </w:p>
    <w:p w14:paraId="43500B87" w14:textId="77777777" w:rsidR="00CC39A6" w:rsidRDefault="00F53363">
      <w:r>
        <w:t xml:space="preserve">Without sleeping, any difference between two routings comes entirely from the second term of (4); with sleeping, port power saved by deactivated links is reported as a separate component, so that no saving is attributed to both routing and shutdown. I_z(t) is an </w:t>
      </w:r>
      <w:r>
        <w:rPr>
          <w:i/>
        </w:rPr>
        <w:t>average</w:t>
      </w:r>
      <w:r>
        <w:t xml:space="preserve"> emission factor (Section 5.2). The emissions avoided by a small change in demand depend on the marginal generator and can differ from average-factor estimates [30]; our estimates are therefore modeled average-factor emissions, not avoided emissions.</w:t>
      </w:r>
    </w:p>
    <w:p w14:paraId="70D7124E" w14:textId="77777777" w:rsidR="00CC39A6" w:rsidRDefault="00F53363">
      <w:pPr>
        <w:pStyle w:val="Heading3"/>
      </w:pPr>
      <w:r>
        <w:t>3.5 Route Change</w:t>
      </w:r>
    </w:p>
    <w:p w14:paraId="05E6397E" w14:textId="77777777" w:rsidR="00CC39A6" w:rsidRDefault="00F53363">
      <w:r>
        <w:t>Moving traffic between paths risks transient congestion and loss during the update and consumes controller and switch resources [5], [21]. We measure route change as the traffic volume that a new routing moves relative to the routing in force:</w:t>
      </w:r>
    </w:p>
    <w:p w14:paraId="6C3853B0" w14:textId="77777777" w:rsidR="00CC39A6" w:rsidRDefault="00F53363">
      <w:pPr>
        <w:pStyle w:val="Code"/>
      </w:pPr>
      <w:bookmarkStart w:id="4" w:name="bongo_lang_latex_5"/>
      <w:bookmarkEnd w:id="4"/>
      <w:r>
        <w:t>\chi\big(x, x'\big) = \frac{1}{2} \sum_{k \in K} \sum_{p \in P_k} D_k(t)\, \big| x_{kp} - x'_{kp} \big|. \tag{5}</w:t>
      </w:r>
    </w:p>
    <w:p w14:paraId="47EF7AA0" w14:textId="77777777" w:rsidR="00CC39A6" w:rsidRDefault="00F53363">
      <w:r>
        <w:t xml:space="preserve">The factor 1/2 counts each moved unit of traffic once. Reported as a fraction of total demand, χ is the </w:t>
      </w:r>
      <w:r>
        <w:rPr>
          <w:i/>
        </w:rPr>
        <w:t>churn</w:t>
      </w:r>
      <w:r>
        <w:t xml:space="preserve"> metric of Section 5.6. We price route change with a coefficient λ ≥ 0, in gCO₂e per Gbit/s moved, which states how much modeled emission saving an operator would require before accepting a given disruption. λ is a policy parameter, not a physical constant, and Section 6 sweeps it.</w:t>
      </w:r>
    </w:p>
    <w:p w14:paraId="49403759" w14:textId="77777777" w:rsidR="00CC39A6" w:rsidRDefault="00F53363">
      <w:pPr>
        <w:pStyle w:val="Heading3"/>
      </w:pPr>
      <w:r>
        <w:t>3.6 Optimisation Problems</w:t>
      </w:r>
    </w:p>
    <w:p w14:paraId="3F982866" w14:textId="77777777" w:rsidR="00CC39A6" w:rsidRDefault="00F53363">
      <w:r>
        <w:t>Three problems share the constraints</w:t>
      </w:r>
    </w:p>
    <w:p w14:paraId="4B52AD71" w14:textId="77777777" w:rsidR="00CC39A6" w:rsidRDefault="00F53363">
      <w:pPr>
        <w:pStyle w:val="Code"/>
      </w:pPr>
      <w:bookmarkStart w:id="5" w:name="bongo_lang_latex_6"/>
      <w:bookmarkEnd w:id="5"/>
      <w:r>
        <w:t>\sum_{p \in P_k} x_{kp}(t) = 1 \;\; \forall k, \qquad y_e(t) \le u_{\max} C_e \;\; \forall e, \qquad x_{kp}(t) \ge 0. \tag{6}</w:t>
      </w:r>
    </w:p>
    <w:p w14:paraId="3DD4A077" w14:textId="77777777" w:rsidR="00CC39A6" w:rsidRDefault="00F53363">
      <w:r>
        <w:t>The latency bound is enforced by construction of P_k. The problems differ in what information they use, which is what makes them comparable.</w:t>
      </w:r>
    </w:p>
    <w:p w14:paraId="211CDBF6" w14:textId="77777777" w:rsidR="00CC39A6" w:rsidRDefault="00F53363">
      <w:r>
        <w:rPr>
          <w:b/>
        </w:rPr>
        <w:t>(P1) Perfect-foresight bound.</w:t>
      </w:r>
      <w:r>
        <w:t xml:space="preserve"> For each slot, minimise M(x, t) subject to (6) using the </w:t>
      </w:r>
      <w:r>
        <w:rPr>
          <w:i/>
        </w:rPr>
        <w:t>true</w:t>
      </w:r>
      <w:r>
        <w:t xml:space="preserve"> intensities I_z(t) and demands D_k(t). Because (2)–(3) are linear in x, (P1) is a linear program. It ignores route change and therefore bounds what any routing could achieve under the model; it is not a deployable controller. A second variant, (P1-λ), adds λχ(x(t), x(t−1)) and solves all slots jointly, giving the bound for a controller that also pays for change.</w:t>
      </w:r>
    </w:p>
    <w:p w14:paraId="6B2F20F7" w14:textId="77777777" w:rsidR="00CC39A6" w:rsidRDefault="00F53363">
      <w:r>
        <w:rPr>
          <w:b/>
        </w:rPr>
        <w:t>(P2) Myopic carbon-aware routing.</w:t>
      </w:r>
      <w:r>
        <w:t xml:space="preserve"> At each slot, minimise M(x, t) subject to (6) using intensities and demands observed in the previous slot. This is the natural repair of current carbon-aware routing: it uses a correct emission objective and hard constraints, but no forecasts and no change cost.</w:t>
      </w:r>
    </w:p>
    <w:p w14:paraId="0A109134" w14:textId="77777777" w:rsidR="00CC39A6" w:rsidRDefault="00F53363">
      <w:r>
        <w:rPr>
          <w:b/>
        </w:rPr>
        <w:t>(P3) Forecast-driven, churn-priced routing.</w:t>
      </w:r>
      <w:r>
        <w:t xml:space="preserve"> At decision time τ, with forecasts Î_z(t | τ) and D̂_k(t | τ) for the next H slots, choose one routing x to hold over the horizon:</w:t>
      </w:r>
    </w:p>
    <w:p w14:paraId="389F39E7" w14:textId="77777777" w:rsidR="00CC39A6" w:rsidRDefault="00F53363">
      <w:pPr>
        <w:pStyle w:val="Code"/>
      </w:pPr>
      <w:bookmarkStart w:id="6" w:name="bongo_lang_latex_7"/>
      <w:bookmarkEnd w:id="6"/>
      <w:r>
        <w:t>\min_{x} \; \sum_{t=\tau}^{\tau+H-1} \sum_{v} \hat{I}_{z(v)}(t \mid \tau)\, P_v\big(x, t\big)\, \Delta \;+\; \lambda\, \chi\big(x, x^{\mathrm{cur}}\big) \tag{7}</w:t>
      </w:r>
    </w:p>
    <w:p w14:paraId="4F7D2DBB" w14:textId="77777777" w:rsidR="00CC39A6" w:rsidRDefault="00F53363">
      <w:r>
        <w:t xml:space="preserve">subject to (6) for every t in the horizon with D̂ in place of D. The absolute values in χ are linearised with auxiliary variables w_{kp} ≥ x_{kp} − x^cur_{kp} and w_{kp} ≥ x^cur_{kp} − x_{kp}, so (P3) remains a linear program. Holding one routing across the horizon reflects the aim of changing routes rarely; the </w:t>
      </w:r>
      <w:r>
        <w:lastRenderedPageBreak/>
        <w:t>routing is still re-evaluated at every slot. Whether the solution of (P3) is actually installed is decided by the commit rule of Section 4.4. Section 4 now describes how EcoRouteAI prepares the inputs of (P1)–(P3), produces the forecasts, solves the problems and applies that rule.</w:t>
      </w:r>
    </w:p>
    <w:p w14:paraId="10503E78" w14:textId="77777777" w:rsidR="00CC39A6" w:rsidRDefault="00F53363">
      <w:r>
        <w:rPr>
          <w:b/>
        </w:rPr>
        <w:t>Table 2.</w:t>
      </w:r>
      <w:r>
        <w:t xml:space="preserve"> Notation.</w:t>
      </w:r>
    </w:p>
    <w:tbl>
      <w:tblPr>
        <w:tblStyle w:val="TableGrid"/>
        <w:tblW w:w="0" w:type="auto"/>
        <w:tblLayout w:type="fixed"/>
        <w:tblLook w:val="0420" w:firstRow="1" w:lastRow="0" w:firstColumn="0" w:lastColumn="0" w:noHBand="0" w:noVBand="1"/>
      </w:tblPr>
      <w:tblGrid>
        <w:gridCol w:w="3120"/>
        <w:gridCol w:w="3120"/>
        <w:gridCol w:w="3120"/>
      </w:tblGrid>
      <w:tr w:rsidR="00CC39A6" w14:paraId="3C2D2243" w14:textId="77777777">
        <w:trPr>
          <w:tblHeader/>
        </w:trPr>
        <w:tc>
          <w:tcPr>
            <w:tcW w:w="3120" w:type="dxa"/>
            <w:shd w:val="clear" w:color="auto" w:fill="F2F2F2"/>
          </w:tcPr>
          <w:p w14:paraId="71794BC5" w14:textId="77777777" w:rsidR="00CC39A6" w:rsidRDefault="00F53363">
            <w:r>
              <w:t>Symbol</w:t>
            </w:r>
          </w:p>
        </w:tc>
        <w:tc>
          <w:tcPr>
            <w:tcW w:w="3120" w:type="dxa"/>
            <w:shd w:val="clear" w:color="auto" w:fill="F2F2F2"/>
          </w:tcPr>
          <w:p w14:paraId="555CBE06" w14:textId="77777777" w:rsidR="00CC39A6" w:rsidRDefault="00F53363">
            <w:r>
              <w:t>Meaning</w:t>
            </w:r>
          </w:p>
        </w:tc>
        <w:tc>
          <w:tcPr>
            <w:tcW w:w="3120" w:type="dxa"/>
            <w:shd w:val="clear" w:color="auto" w:fill="F2F2F2"/>
          </w:tcPr>
          <w:p w14:paraId="61F2D6F3" w14:textId="77777777" w:rsidR="00CC39A6" w:rsidRDefault="00F53363">
            <w:r>
              <w:t>Unit</w:t>
            </w:r>
          </w:p>
        </w:tc>
      </w:tr>
      <w:tr w:rsidR="00CC39A6" w14:paraId="1B36047E" w14:textId="77777777">
        <w:tc>
          <w:tcPr>
            <w:tcW w:w="3120" w:type="dxa"/>
          </w:tcPr>
          <w:p w14:paraId="2A883317" w14:textId="77777777" w:rsidR="00CC39A6" w:rsidRDefault="00F53363">
            <w:r>
              <w:t>G = (V, E)</w:t>
            </w:r>
          </w:p>
        </w:tc>
        <w:tc>
          <w:tcPr>
            <w:tcW w:w="3120" w:type="dxa"/>
          </w:tcPr>
          <w:p w14:paraId="461CCF86" w14:textId="77777777" w:rsidR="00CC39A6" w:rsidRDefault="00F53363">
            <w:r>
              <w:t>Network graph</w:t>
            </w:r>
          </w:p>
        </w:tc>
        <w:tc>
          <w:tcPr>
            <w:tcW w:w="3120" w:type="dxa"/>
          </w:tcPr>
          <w:p w14:paraId="5A521D2C" w14:textId="77777777" w:rsidR="00CC39A6" w:rsidRDefault="00F53363">
            <w:r>
              <w:t>—</w:t>
            </w:r>
          </w:p>
        </w:tc>
      </w:tr>
      <w:tr w:rsidR="00CC39A6" w14:paraId="723D978F" w14:textId="77777777">
        <w:tc>
          <w:tcPr>
            <w:tcW w:w="3120" w:type="dxa"/>
          </w:tcPr>
          <w:p w14:paraId="025711A5" w14:textId="77777777" w:rsidR="00CC39A6" w:rsidRDefault="00F53363">
            <w:r>
              <w:t>C_e, δ_e</w:t>
            </w:r>
          </w:p>
        </w:tc>
        <w:tc>
          <w:tcPr>
            <w:tcW w:w="3120" w:type="dxa"/>
          </w:tcPr>
          <w:p w14:paraId="614C9F70" w14:textId="77777777" w:rsidR="00CC39A6" w:rsidRDefault="00F53363">
            <w:r>
              <w:t>Capacity and propagation delay of link e</w:t>
            </w:r>
          </w:p>
        </w:tc>
        <w:tc>
          <w:tcPr>
            <w:tcW w:w="3120" w:type="dxa"/>
          </w:tcPr>
          <w:p w14:paraId="538D63E1" w14:textId="77777777" w:rsidR="00CC39A6" w:rsidRDefault="00F53363">
            <w:r>
              <w:t>Gbit/s, ms</w:t>
            </w:r>
          </w:p>
        </w:tc>
      </w:tr>
      <w:tr w:rsidR="00CC39A6" w14:paraId="6D39711B" w14:textId="77777777">
        <w:tc>
          <w:tcPr>
            <w:tcW w:w="3120" w:type="dxa"/>
          </w:tcPr>
          <w:p w14:paraId="3FEC4D93" w14:textId="77777777" w:rsidR="00CC39A6" w:rsidRDefault="00F53363">
            <w:r>
              <w:t>Δ, t, τ, H</w:t>
            </w:r>
          </w:p>
        </w:tc>
        <w:tc>
          <w:tcPr>
            <w:tcW w:w="3120" w:type="dxa"/>
          </w:tcPr>
          <w:p w14:paraId="6768C75B" w14:textId="77777777" w:rsidR="00CC39A6" w:rsidRDefault="00F53363">
            <w:r>
              <w:t>Slot length, slot index, decision time, horizon</w:t>
            </w:r>
          </w:p>
        </w:tc>
        <w:tc>
          <w:tcPr>
            <w:tcW w:w="3120" w:type="dxa"/>
          </w:tcPr>
          <w:p w14:paraId="39B4EEC9" w14:textId="77777777" w:rsidR="00CC39A6" w:rsidRDefault="00F53363">
            <w:r>
              <w:t>min, —, —, slots</w:t>
            </w:r>
          </w:p>
        </w:tc>
      </w:tr>
      <w:tr w:rsidR="00CC39A6" w14:paraId="182B9188" w14:textId="77777777">
        <w:tc>
          <w:tcPr>
            <w:tcW w:w="3120" w:type="dxa"/>
          </w:tcPr>
          <w:p w14:paraId="4FB4FBB7" w14:textId="77777777" w:rsidR="00CC39A6" w:rsidRDefault="00F53363">
            <w:r>
              <w:t>D_k(t), D̂_k(t∣τ)</w:t>
            </w:r>
          </w:p>
        </w:tc>
        <w:tc>
          <w:tcPr>
            <w:tcW w:w="3120" w:type="dxa"/>
          </w:tcPr>
          <w:p w14:paraId="6D296C53" w14:textId="77777777" w:rsidR="00CC39A6" w:rsidRDefault="00F53363">
            <w:r>
              <w:t>Demand of OD pair k: actual, forecast</w:t>
            </w:r>
          </w:p>
        </w:tc>
        <w:tc>
          <w:tcPr>
            <w:tcW w:w="3120" w:type="dxa"/>
          </w:tcPr>
          <w:p w14:paraId="692DABFA" w14:textId="77777777" w:rsidR="00CC39A6" w:rsidRDefault="00F53363">
            <w:r>
              <w:t>Gbit/s</w:t>
            </w:r>
          </w:p>
        </w:tc>
      </w:tr>
      <w:tr w:rsidR="00CC39A6" w14:paraId="2B53B975" w14:textId="77777777">
        <w:tc>
          <w:tcPr>
            <w:tcW w:w="3120" w:type="dxa"/>
          </w:tcPr>
          <w:p w14:paraId="5A7ABD9C" w14:textId="77777777" w:rsidR="00CC39A6" w:rsidRDefault="00F53363">
            <w:r>
              <w:t>P_k, N, L_k</w:t>
            </w:r>
          </w:p>
        </w:tc>
        <w:tc>
          <w:tcPr>
            <w:tcW w:w="3120" w:type="dxa"/>
          </w:tcPr>
          <w:p w14:paraId="31C8F425" w14:textId="77777777" w:rsidR="00CC39A6" w:rsidRDefault="00F53363">
            <w:r>
              <w:t>Candidate paths, their maximum number, latency bound</w:t>
            </w:r>
          </w:p>
        </w:tc>
        <w:tc>
          <w:tcPr>
            <w:tcW w:w="3120" w:type="dxa"/>
          </w:tcPr>
          <w:p w14:paraId="054B0D8E" w14:textId="77777777" w:rsidR="00CC39A6" w:rsidRDefault="00F53363">
            <w:r>
              <w:t>—, —, ms</w:t>
            </w:r>
          </w:p>
        </w:tc>
      </w:tr>
      <w:tr w:rsidR="00CC39A6" w14:paraId="14595255" w14:textId="77777777">
        <w:tc>
          <w:tcPr>
            <w:tcW w:w="3120" w:type="dxa"/>
          </w:tcPr>
          <w:p w14:paraId="45FE922C" w14:textId="77777777" w:rsidR="00CC39A6" w:rsidRDefault="00F53363">
            <w:r>
              <w:t>x_{kp}(t)</w:t>
            </w:r>
          </w:p>
        </w:tc>
        <w:tc>
          <w:tcPr>
            <w:tcW w:w="3120" w:type="dxa"/>
          </w:tcPr>
          <w:p w14:paraId="523A8590" w14:textId="77777777" w:rsidR="00CC39A6" w:rsidRDefault="00F53363">
            <w:r>
              <w:t>Fraction of demand k on path p</w:t>
            </w:r>
          </w:p>
        </w:tc>
        <w:tc>
          <w:tcPr>
            <w:tcW w:w="3120" w:type="dxa"/>
          </w:tcPr>
          <w:p w14:paraId="2A22CE83" w14:textId="77777777" w:rsidR="00CC39A6" w:rsidRDefault="00F53363">
            <w:r>
              <w:t>—</w:t>
            </w:r>
          </w:p>
        </w:tc>
      </w:tr>
      <w:tr w:rsidR="00CC39A6" w14:paraId="314D23EF" w14:textId="77777777">
        <w:tc>
          <w:tcPr>
            <w:tcW w:w="3120" w:type="dxa"/>
          </w:tcPr>
          <w:p w14:paraId="41B83915" w14:textId="77777777" w:rsidR="00CC39A6" w:rsidRDefault="00F53363">
            <w:r>
              <w:t>y_e(t), u_max</w:t>
            </w:r>
          </w:p>
        </w:tc>
        <w:tc>
          <w:tcPr>
            <w:tcW w:w="3120" w:type="dxa"/>
          </w:tcPr>
          <w:p w14:paraId="5372A8EE" w14:textId="77777777" w:rsidR="00CC39A6" w:rsidRDefault="00F53363">
            <w:r>
              <w:t>Link load, utilisation cap</w:t>
            </w:r>
          </w:p>
        </w:tc>
        <w:tc>
          <w:tcPr>
            <w:tcW w:w="3120" w:type="dxa"/>
          </w:tcPr>
          <w:p w14:paraId="70C7852E" w14:textId="77777777" w:rsidR="00CC39A6" w:rsidRDefault="00F53363">
            <w:r>
              <w:t>Gbit/s, —</w:t>
            </w:r>
          </w:p>
        </w:tc>
      </w:tr>
      <w:tr w:rsidR="00CC39A6" w14:paraId="5FD6A032" w14:textId="77777777">
        <w:tc>
          <w:tcPr>
            <w:tcW w:w="3120" w:type="dxa"/>
          </w:tcPr>
          <w:p w14:paraId="776842CA" w14:textId="77777777" w:rsidR="00CC39A6" w:rsidRDefault="00F53363">
            <w:r>
              <w:t>P^max_v, Γ_v, ρ</w:t>
            </w:r>
          </w:p>
        </w:tc>
        <w:tc>
          <w:tcPr>
            <w:tcW w:w="3120" w:type="dxa"/>
          </w:tcPr>
          <w:p w14:paraId="75D73DB5" w14:textId="77777777" w:rsidR="00CC39A6" w:rsidRDefault="00F53363">
            <w:r>
              <w:t>Reference power, switching capacity, idle share</w:t>
            </w:r>
          </w:p>
        </w:tc>
        <w:tc>
          <w:tcPr>
            <w:tcW w:w="3120" w:type="dxa"/>
          </w:tcPr>
          <w:p w14:paraId="5D67528C" w14:textId="77777777" w:rsidR="00CC39A6" w:rsidRDefault="00F53363">
            <w:r>
              <w:t>W, Gbit/s, —</w:t>
            </w:r>
          </w:p>
        </w:tc>
      </w:tr>
      <w:tr w:rsidR="00CC39A6" w14:paraId="34D6B737" w14:textId="77777777">
        <w:tc>
          <w:tcPr>
            <w:tcW w:w="3120" w:type="dxa"/>
          </w:tcPr>
          <w:p w14:paraId="47CC881D" w14:textId="77777777" w:rsidR="00CC39A6" w:rsidRDefault="00F53363">
            <w:r>
              <w:t>ℓ_v(x, t)</w:t>
            </w:r>
          </w:p>
        </w:tc>
        <w:tc>
          <w:tcPr>
            <w:tcW w:w="3120" w:type="dxa"/>
          </w:tcPr>
          <w:p w14:paraId="0C8E943C" w14:textId="77777777" w:rsidR="00CC39A6" w:rsidRDefault="00F53363">
            <w:r>
              <w:t>Throughput of node v</w:t>
            </w:r>
          </w:p>
        </w:tc>
        <w:tc>
          <w:tcPr>
            <w:tcW w:w="3120" w:type="dxa"/>
          </w:tcPr>
          <w:p w14:paraId="54D97127" w14:textId="77777777" w:rsidR="00CC39A6" w:rsidRDefault="00F53363">
            <w:r>
              <w:t>Gbit/s</w:t>
            </w:r>
          </w:p>
        </w:tc>
      </w:tr>
      <w:tr w:rsidR="00CC39A6" w14:paraId="0A688EF5" w14:textId="77777777">
        <w:tc>
          <w:tcPr>
            <w:tcW w:w="3120" w:type="dxa"/>
          </w:tcPr>
          <w:p w14:paraId="2C3F8EDA" w14:textId="77777777" w:rsidR="00CC39A6" w:rsidRDefault="00F53363">
            <w:r>
              <w:t>I_z(t), Î_z(t∣τ)</w:t>
            </w:r>
          </w:p>
        </w:tc>
        <w:tc>
          <w:tcPr>
            <w:tcW w:w="3120" w:type="dxa"/>
          </w:tcPr>
          <w:p w14:paraId="1D57FAD1" w14:textId="77777777" w:rsidR="00CC39A6" w:rsidRDefault="00F53363">
            <w:r>
              <w:t>Carbon intensity of zone z: actual, forecast</w:t>
            </w:r>
          </w:p>
        </w:tc>
        <w:tc>
          <w:tcPr>
            <w:tcW w:w="3120" w:type="dxa"/>
          </w:tcPr>
          <w:p w14:paraId="533DF18D" w14:textId="77777777" w:rsidR="00CC39A6" w:rsidRDefault="00F53363">
            <w:r>
              <w:t>gCO₂e/kWh</w:t>
            </w:r>
          </w:p>
        </w:tc>
      </w:tr>
      <w:tr w:rsidR="00CC39A6" w14:paraId="1A3739B6" w14:textId="77777777">
        <w:tc>
          <w:tcPr>
            <w:tcW w:w="3120" w:type="dxa"/>
          </w:tcPr>
          <w:p w14:paraId="68411396" w14:textId="77777777" w:rsidR="00CC39A6" w:rsidRDefault="00F53363">
            <w:r>
              <w:t>M(x, t)</w:t>
            </w:r>
          </w:p>
        </w:tc>
        <w:tc>
          <w:tcPr>
            <w:tcW w:w="3120" w:type="dxa"/>
          </w:tcPr>
          <w:p w14:paraId="23993F61" w14:textId="77777777" w:rsidR="00CC39A6" w:rsidRDefault="00F53363">
            <w:r>
              <w:t>Modeled emissions in slot t</w:t>
            </w:r>
          </w:p>
        </w:tc>
        <w:tc>
          <w:tcPr>
            <w:tcW w:w="3120" w:type="dxa"/>
          </w:tcPr>
          <w:p w14:paraId="49213691" w14:textId="77777777" w:rsidR="00CC39A6" w:rsidRDefault="00F53363">
            <w:r>
              <w:t>gCO₂e</w:t>
            </w:r>
          </w:p>
        </w:tc>
      </w:tr>
      <w:tr w:rsidR="00CC39A6" w14:paraId="2B886BE3" w14:textId="77777777">
        <w:tc>
          <w:tcPr>
            <w:tcW w:w="3120" w:type="dxa"/>
          </w:tcPr>
          <w:p w14:paraId="53ADB735" w14:textId="77777777" w:rsidR="00CC39A6" w:rsidRDefault="00F53363">
            <w:r>
              <w:t>χ(x, x′), λ</w:t>
            </w:r>
          </w:p>
        </w:tc>
        <w:tc>
          <w:tcPr>
            <w:tcW w:w="3120" w:type="dxa"/>
          </w:tcPr>
          <w:p w14:paraId="4A5A6005" w14:textId="77777777" w:rsidR="00CC39A6" w:rsidRDefault="00F53363">
            <w:r>
              <w:t>Traffic moved by a route change; its price</w:t>
            </w:r>
          </w:p>
        </w:tc>
        <w:tc>
          <w:tcPr>
            <w:tcW w:w="3120" w:type="dxa"/>
          </w:tcPr>
          <w:p w14:paraId="08226BA6" w14:textId="77777777" w:rsidR="00CC39A6" w:rsidRDefault="00F53363">
            <w:r>
              <w:t>Gbit/s; gCO₂e per Gbit/s</w:t>
            </w:r>
          </w:p>
        </w:tc>
      </w:tr>
      <w:tr w:rsidR="00CC39A6" w14:paraId="2C1B1608" w14:textId="77777777">
        <w:tc>
          <w:tcPr>
            <w:tcW w:w="3120" w:type="dxa"/>
          </w:tcPr>
          <w:p w14:paraId="2B9FC03A" w14:textId="77777777" w:rsidR="00CC39A6" w:rsidRDefault="00F53363">
            <w:r>
              <w:t>α</w:t>
            </w:r>
          </w:p>
        </w:tc>
        <w:tc>
          <w:tcPr>
            <w:tcW w:w="3120" w:type="dxa"/>
          </w:tcPr>
          <w:p w14:paraId="2A9E45F7" w14:textId="77777777" w:rsidR="00CC39A6" w:rsidRDefault="00F53363">
            <w:r>
              <w:t>Quantile level of the commit rule</w:t>
            </w:r>
          </w:p>
        </w:tc>
        <w:tc>
          <w:tcPr>
            <w:tcW w:w="3120" w:type="dxa"/>
          </w:tcPr>
          <w:p w14:paraId="14EEE6DB" w14:textId="77777777" w:rsidR="00CC39A6" w:rsidRDefault="00F53363">
            <w:r>
              <w:t>—</w:t>
            </w:r>
          </w:p>
        </w:tc>
      </w:tr>
    </w:tbl>
    <w:p w14:paraId="26290CC5" w14:textId="77777777" w:rsidR="00CC39A6" w:rsidRDefault="00F53363">
      <w:pPr>
        <w:pStyle w:val="Heading2"/>
      </w:pPr>
      <w:r>
        <w:t>4 Proposed Methodology: EcoRouteAI</w:t>
      </w:r>
    </w:p>
    <w:p w14:paraId="0FDBAF92" w14:textId="77777777" w:rsidR="00CC39A6" w:rsidRDefault="00F53363">
      <w:r>
        <w:t xml:space="preserve">Section 3 defined the emissions a routing causes and three problems that use progressively more realistic information. EcoRouteAI is the procedure that produces the inputs of those problems, solves them, and decides whether to act on the solution. Fig. 1 shows its decision loop. Section 4.1 describes data preparation, Section 4.2 forecasting, Section 4.3 optimisation, Section 4.4 the commit rule that distinguishes EcoRouteAI from myopic carbon-aware routing, Section 4.5 the complete algorithm and its </w:t>
      </w:r>
      <w:r>
        <w:lastRenderedPageBreak/>
        <w:t>cost, Section 4.6 an optional sleeping extension, and Section 4.7 SDN realisation and implementation status.</w:t>
      </w:r>
    </w:p>
    <w:p w14:paraId="79EB2AE2" w14:textId="77777777" w:rsidR="00CC39A6" w:rsidRDefault="00F53363">
      <w:r>
        <w:rPr>
          <w:noProof/>
        </w:rPr>
        <w:drawing>
          <wp:inline distT="0" distB="0" distL="0" distR="0" wp14:anchorId="68CB9123" wp14:editId="648BCE8B">
            <wp:extent cx="5486400" cy="3347357"/>
            <wp:effectExtent l="0" t="0" r="0" b="0"/>
            <wp:docPr id="1" name="image1" descr="Fig. 1. EcoRouteAI decision loop, executed once per slot"/>
            <wp:cNvGraphicFramePr/>
            <a:graphic xmlns:a="http://schemas.openxmlformats.org/drawingml/2006/main">
              <a:graphicData uri="http://schemas.openxmlformats.org/drawingml/2006/picture">
                <pic:pic xmlns:pic="http://schemas.openxmlformats.org/drawingml/2006/picture">
                  <pic:nvPicPr>
                    <pic:cNvPr id="1" name="image1" descr="Fig. 1. EcoRouteAI decision loop, executed once per slot"/>
                    <pic:cNvPicPr/>
                  </pic:nvPicPr>
                  <pic:blipFill>
                    <a:blip r:embed="rId5"/>
                    <a:stretch>
                      <a:fillRect/>
                    </a:stretch>
                  </pic:blipFill>
                  <pic:spPr>
                    <a:xfrm>
                      <a:off x="0" y="0"/>
                      <a:ext cx="5486400" cy="3347357"/>
                    </a:xfrm>
                    <a:prstGeom prst="rect">
                      <a:avLst/>
                    </a:prstGeom>
                  </pic:spPr>
                </pic:pic>
              </a:graphicData>
            </a:graphic>
          </wp:inline>
        </w:drawing>
      </w:r>
    </w:p>
    <w:p w14:paraId="4DD91ECE" w14:textId="77777777" w:rsidR="00CC39A6" w:rsidRDefault="00F53363">
      <w:r>
        <w:t>Fig. 1. EcoRouteAI decision loop, executed once per slot</w:t>
      </w:r>
    </w:p>
    <w:p w14:paraId="1D7FA4AC" w14:textId="77777777" w:rsidR="00CC39A6" w:rsidRDefault="00F53363">
      <w:r>
        <w:t>Fig. 1 separates information from decision. The upper two rows turn measured data and modeling assumptions into the inputs of (P3); the lower rows decide whether the resulting routing replaces the one in force, which in turn becomes the reference for the next slot's route-change cost.</w:t>
      </w:r>
    </w:p>
    <w:p w14:paraId="44DD1A2C" w14:textId="77777777" w:rsidR="00CC39A6" w:rsidRDefault="00F53363">
      <w:pPr>
        <w:pStyle w:val="Heading3"/>
      </w:pPr>
      <w:r>
        <w:t>4.1 Data Preparation</w:t>
      </w:r>
    </w:p>
    <w:p w14:paraId="7141F2F5" w14:textId="77777777" w:rsidR="00CC39A6" w:rsidRDefault="00F53363">
      <w:r>
        <w:t>Preparation converts the datasets of Section 5.1 into the objects of Section 3. Each node is assigned to one grid zone z(v): a country for GÉANT, whose node identifiers carry country codes, and a U.S. balancing authority for Abilene. Link delays δ_e are computed from node coordinates as in Section 3.2. For every demand, candidate paths are generated in order of increasing delay with Yen's k-shortest-paths procedure, stopping at N paths or at the first path exceeding L_k. Power parameters P^max_v and Γ_v are</w:t>
      </w:r>
      <w:r>
        <w:t xml:space="preserve"> attached to nodes from the device profiles of Section 5.3. Preparation is run once per network; only demands and intensities change from slot to slot.</w:t>
      </w:r>
    </w:p>
    <w:p w14:paraId="0A128D34" w14:textId="77777777" w:rsidR="00CC39A6" w:rsidRDefault="00F53363">
      <w:pPr>
        <w:pStyle w:val="Heading3"/>
      </w:pPr>
      <w:r>
        <w:t>4.2 Forecasting</w:t>
      </w:r>
    </w:p>
    <w:p w14:paraId="04BFC276" w14:textId="77777777" w:rsidR="00CC39A6" w:rsidRDefault="00F53363">
      <w:r>
        <w:t xml:space="preserve">The forecaster supplies the intensities Î(z, t | τ) and demands D̂(k, t | τ) that (P3) needs for the H slots after decision time τ, using only data observed up to τ. Following the lessons of Section 2.3, it is built up from the simplest defensible predictors: </w:t>
      </w:r>
      <w:r>
        <w:rPr>
          <w:i/>
        </w:rPr>
        <w:t>persistence</w:t>
      </w:r>
      <w:r>
        <w:t xml:space="preserve">, which repeats the last observation, and </w:t>
      </w:r>
      <w:r>
        <w:rPr>
          <w:i/>
        </w:rPr>
        <w:t>seasonal-naive</w:t>
      </w:r>
      <w:r>
        <w:t xml:space="preserve">, which repeats the value observed one day (or one week) earlier [32]. A learned model is admitted only if it improves on the better naive forecast on the validation period; it is never assumed to help. Besides point forecasts, the forecaster records, for each zone z and lead time h = t − τ, the empirical quantiles q(z, h, α) of the relative intensity error (I − Î)/Î on the validation period. These quantiles define </w:t>
      </w:r>
      <w:r>
        <w:lastRenderedPageBreak/>
        <w:t xml:space="preserve">a band from I-lo = Î · (1 + q(z, h, α)) to I-hi = Î · (1 + q(z, h, 1 − α)), which the commit </w:t>
      </w:r>
      <w:r>
        <w:t>rule uses. Using empirical quantiles avoids assuming a distribution for forecast error.</w:t>
      </w:r>
    </w:p>
    <w:p w14:paraId="4B93CFAE" w14:textId="77777777" w:rsidR="00CC39A6" w:rsidRDefault="00F53363">
      <w:pPr>
        <w:pStyle w:val="Heading3"/>
      </w:pPr>
      <w:r>
        <w:t>4.3 Optimisation</w:t>
      </w:r>
    </w:p>
    <w:p w14:paraId="00932380" w14:textId="77777777" w:rsidR="00CC39A6" w:rsidRDefault="00F53363">
      <w:r>
        <w:t>At each slot EcoRouteAI solves (P3), the linear program of Section 3.6, warm-started from the routing in force. The same solver, constraints and candidate paths are used for (P1) and (P2), so that differences between methods come only from the information each uses. The solution x* is a proposal, not an action.</w:t>
      </w:r>
    </w:p>
    <w:p w14:paraId="27C59E73" w14:textId="77777777" w:rsidR="00CC39A6" w:rsidRDefault="00F53363">
      <w:pPr>
        <w:pStyle w:val="Heading3"/>
      </w:pPr>
      <w:r>
        <w:t>4.4 Confidence-Gated Commit Rule</w:t>
      </w:r>
    </w:p>
    <w:p w14:paraId="635C570D" w14:textId="77777777" w:rsidR="00CC39A6" w:rsidRDefault="00F53363">
      <w:r>
        <w:t xml:space="preserve">Because the routing in force x^cur is itself a candidate in (P3) with zero route-change cost, whenever x^cur is feasible the optimum x* satisfies Σ Î ΔP Δ ≥ λχ(x*, x^cur): the </w:t>
      </w:r>
      <w:r>
        <w:rPr>
          <w:i/>
        </w:rPr>
        <w:t>point</w:t>
      </w:r>
      <w:r>
        <w:t xml:space="preserve"> forecast of its saving already covers the change cost. That guarantee is only as good as the forecast. The commit rule therefore re-evaluates the saving under the least favourable intensities within the forecast band. Let ΔP_v(t) = P_v(x^cur, t) − P_v(x*, t) under forecast demand. The cautious saving is</w:t>
      </w:r>
    </w:p>
    <w:p w14:paraId="688478AE" w14:textId="77777777" w:rsidR="00CC39A6" w:rsidRDefault="00F53363">
      <w:pPr>
        <w:pStyle w:val="Code"/>
      </w:pPr>
      <w:bookmarkStart w:id="7" w:name="bongo_lang_latex_8"/>
      <w:bookmarkEnd w:id="7"/>
      <w:r>
        <w:t>S^{\mathrm{low}} = \sum_{t=\tau}^{\tau+H-1} \sum_{v} \Big( \mathbb{1}[\Delta P_v(t) \ge 0]\, I^{\mathrm{lo}}_{z(v)}(t \mid \tau) + \mathbb{1}[\Delta P_v(t) &lt; 0]\, I^{\mathrm{hi}}_{z(v)}(t \mid \tau) \Big)\, \Delta P_v(t)\, \Delta, \tag{8}</w:t>
      </w:r>
    </w:p>
    <w:p w14:paraId="3D16A365" w14:textId="77777777" w:rsidR="00CC39A6" w:rsidRDefault="00F53363">
      <w:r>
        <w:t>which credits every power reduction at the lowest plausible intensity and charges every increase at the highest. EcoRouteAI installs x* if and only if</w:t>
      </w:r>
    </w:p>
    <w:p w14:paraId="28874105" w14:textId="77777777" w:rsidR="00CC39A6" w:rsidRDefault="00F53363">
      <w:pPr>
        <w:pStyle w:val="Code"/>
      </w:pPr>
      <w:bookmarkStart w:id="8" w:name="bongo_lang_latex_9"/>
      <w:bookmarkEnd w:id="8"/>
      <w:r>
        <w:t>S^{\mathrm{low}} &gt; \lambda\, \chi\big(x^{*}, x^{\mathrm{cur}}\big) \quad \text{or} \quad x^{\mathrm{cur}} \text{ violates (6) under the observed demand}. \tag{9}</w:t>
      </w:r>
    </w:p>
    <w:p w14:paraId="67D622CC" w14:textId="77777777" w:rsidR="00CC39A6" w:rsidRDefault="00F53363">
      <w:r>
        <w:t>The second condition is a safety override: service constraints take precedence over stability. The quantile level α sets how cautious the rule is; as α approaches 0.5 the band collapses to the point forecast and the rule reduces to (P3) alone. The rule follows the principle of Section 2.4, in which a change is made only when its benefit exceeds its cost [22], but ties the threshold to measured forecast error instead of a hand-tuned constant. Whether this gating retains most of the achievable saving while su</w:t>
      </w:r>
      <w:r>
        <w:t>ppressing churn is a hypothesis that Section 6.2 tests, not a property we assume.</w:t>
      </w:r>
    </w:p>
    <w:p w14:paraId="1D01DEFA" w14:textId="77777777" w:rsidR="00CC39A6" w:rsidRDefault="00F53363">
      <w:pPr>
        <w:pStyle w:val="Heading3"/>
      </w:pPr>
      <w:r>
        <w:t>4.5 Algorithm and Computational Cost</w:t>
      </w:r>
    </w:p>
    <w:p w14:paraId="6BD3E1C1" w14:textId="77777777" w:rsidR="00CC39A6" w:rsidRDefault="00F53363">
      <w:r>
        <w:t>Algorithm 1 gives the complete per-slot procedure.</w:t>
      </w:r>
    </w:p>
    <w:p w14:paraId="3A888726" w14:textId="77777777" w:rsidR="00CC39A6" w:rsidRDefault="00F53363">
      <w:pPr>
        <w:pStyle w:val="Code"/>
      </w:pPr>
      <w:r>
        <w:t>Algorithm 1: EcoRouteAI, executed at each decision time τ</w:t>
      </w:r>
      <w:r>
        <w:br/>
        <w:t>Input : routing in force x_cur; observations up to τ; parameters H, λ, α, u_max</w:t>
      </w:r>
      <w:r>
        <w:br/>
        <w:t>1  (Î, D̂, I_lo, I_hi) ← Forecast(observations up to τ, H, α)        // Sec. 4.2</w:t>
      </w:r>
      <w:r>
        <w:br/>
        <w:t>2  if x_cur violates (6) under the demand observed at τ then</w:t>
      </w:r>
      <w:r>
        <w:br/>
        <w:t>3      x* ← solve (P3) with λ = 0;  install x*;  return              // safety override</w:t>
      </w:r>
      <w:r>
        <w:br/>
      </w:r>
      <w:r>
        <w:t>4  x* ← solve (P3) with Î, D̂, λ, warm start x_cur                   // Sec. 4.3</w:t>
      </w:r>
      <w:r>
        <w:br/>
        <w:t>5  if solver fails or times out then keep x_cur;  log;  return</w:t>
      </w:r>
      <w:r>
        <w:br/>
        <w:t>6  S_low ← cautious saving of x* over x_cur by (8)                  // Sec. 4.4</w:t>
      </w:r>
      <w:r>
        <w:br/>
        <w:t>7  if S_low &gt; λ · χ(x*, x_cur) then install x*  else keep x_cur</w:t>
      </w:r>
      <w:r>
        <w:br/>
        <w:t>8  record E, M, χ, utilisation, latency-bound violations for slot τ</w:t>
      </w:r>
    </w:p>
    <w:p w14:paraId="22B59526" w14:textId="77777777" w:rsidR="00CC39A6" w:rsidRDefault="00F53363">
      <w:r>
        <w:t xml:space="preserve">The linear program has at most N|K| split variables, as many auxiliary variables for (5), |K| demand constraints, and H|E| capacity constraints. For GÉANT, with |K| = 462 directed demands and N = 8, this is under 7,400 variables, and for Abilene, with |K| = 132, under 2,200; both are small for current LP </w:t>
      </w:r>
      <w:r>
        <w:lastRenderedPageBreak/>
        <w:t>solvers. Candidate path generation costs O(N|V|(|E| + |V| log |V|)) per demand and is performed once. Measured solve times are reported in Section 6.</w:t>
      </w:r>
    </w:p>
    <w:p w14:paraId="2B278C34" w14:textId="77777777" w:rsidR="00CC39A6" w:rsidRDefault="00F53363">
      <w:pPr>
        <w:pStyle w:val="Heading3"/>
      </w:pPr>
      <w:r>
        <w:t>4.6 Optional Extension: Coordinated Link Sleeping</w:t>
      </w:r>
    </w:p>
    <w:p w14:paraId="273A5F9D" w14:textId="77777777" w:rsidR="00CC39A6" w:rsidRDefault="00F53363">
      <w:r>
        <w:t>Section 2.1 showed that larger energy savings come from deactivating components. If experiment E1 shows that routing-only savings are negligible under realistic idle shares (the pre-registered criterion of Section 5.8), EcoRouteAI is extended with the link activity variables a_e(t) of Section 3.3: capacity constraints become y_e(t) ≤ u_max C_e a_e(t), port power enters (3) only for active links, and changing a_e incurs a wake-up penalty in the same units as λ. The problem then becomes a mixed-integer progra</w:t>
      </w:r>
      <w:r>
        <w:t>m, and savings are reported separately for routing and for deactivation, as required by Section 3.4. This extension is evaluated only if E1 triggers it.</w:t>
      </w:r>
    </w:p>
    <w:p w14:paraId="0572D0C5" w14:textId="77777777" w:rsidR="00CC39A6" w:rsidRDefault="00F53363">
      <w:pPr>
        <w:pStyle w:val="Heading3"/>
      </w:pPr>
      <w:r>
        <w:t>4.7 SDN Realisation, Fallbacks and Implementation Status</w:t>
      </w:r>
    </w:p>
    <w:p w14:paraId="20BFDB07" w14:textId="77777777" w:rsidR="00CC39A6" w:rsidRDefault="00F53363">
      <w:r>
        <w:t>In an SDN deployment, the routing in force is translated into per-demand forwarding rules with weighted splitting, installed by the controller and updated through staged updates such as those of [5], [21]. Missing intensity data are replaced by the last observation and flagged; a failed forecast falls back to persistence; and a failed or timed-out solve keeps the routing in force, as in line 5 of Algorithm 1.</w:t>
      </w:r>
    </w:p>
    <w:p w14:paraId="7B425DA0" w14:textId="77777777" w:rsidR="00CC39A6" w:rsidRDefault="00F53363">
      <w:r>
        <w:rPr>
          <w:b/>
        </w:rPr>
        <w:t>Table 3.</w:t>
      </w:r>
      <w:r>
        <w:t xml:space="preserve"> Implementation status (author note — update before submission).</w:t>
      </w:r>
    </w:p>
    <w:tbl>
      <w:tblPr>
        <w:tblStyle w:val="TableGrid"/>
        <w:tblW w:w="0" w:type="auto"/>
        <w:tblLayout w:type="fixed"/>
        <w:tblLook w:val="0420" w:firstRow="1" w:lastRow="0" w:firstColumn="0" w:lastColumn="0" w:noHBand="0" w:noVBand="1"/>
      </w:tblPr>
      <w:tblGrid>
        <w:gridCol w:w="3120"/>
        <w:gridCol w:w="3120"/>
        <w:gridCol w:w="3120"/>
      </w:tblGrid>
      <w:tr w:rsidR="00CC39A6" w14:paraId="452C4BA0" w14:textId="77777777">
        <w:trPr>
          <w:tblHeader/>
        </w:trPr>
        <w:tc>
          <w:tcPr>
            <w:tcW w:w="3120" w:type="dxa"/>
            <w:shd w:val="clear" w:color="auto" w:fill="F2F2F2"/>
          </w:tcPr>
          <w:p w14:paraId="3C0ECB45" w14:textId="77777777" w:rsidR="00CC39A6" w:rsidRDefault="00F53363">
            <w:r>
              <w:t>Component</w:t>
            </w:r>
          </w:p>
        </w:tc>
        <w:tc>
          <w:tcPr>
            <w:tcW w:w="3120" w:type="dxa"/>
            <w:shd w:val="clear" w:color="auto" w:fill="F2F2F2"/>
          </w:tcPr>
          <w:p w14:paraId="1E98F18E" w14:textId="77777777" w:rsidR="00CC39A6" w:rsidRDefault="00F53363">
            <w:r>
              <w:t>Status</w:t>
            </w:r>
          </w:p>
        </w:tc>
        <w:tc>
          <w:tcPr>
            <w:tcW w:w="3120" w:type="dxa"/>
            <w:shd w:val="clear" w:color="auto" w:fill="F2F2F2"/>
          </w:tcPr>
          <w:p w14:paraId="6C77A61B" w14:textId="77777777" w:rsidR="00CC39A6" w:rsidRDefault="00F53363">
            <w:r>
              <w:t>Evidence</w:t>
            </w:r>
          </w:p>
        </w:tc>
      </w:tr>
      <w:tr w:rsidR="00CC39A6" w14:paraId="064BC982" w14:textId="77777777">
        <w:tc>
          <w:tcPr>
            <w:tcW w:w="3120" w:type="dxa"/>
          </w:tcPr>
          <w:p w14:paraId="4F5E0FAB" w14:textId="77777777" w:rsidR="00CC39A6" w:rsidRDefault="00F53363">
            <w:r>
              <w:t>Multi-commodity flow LP for shortest-hop, latency-aware, min-max utilisation, myopic and perfect-foresight routing</w:t>
            </w:r>
          </w:p>
        </w:tc>
        <w:tc>
          <w:tcPr>
            <w:tcW w:w="3120" w:type="dxa"/>
          </w:tcPr>
          <w:p w14:paraId="668BE517" w14:textId="77777777" w:rsidR="00CC39A6" w:rsidRDefault="00F53363">
            <w:r>
              <w:t>Implemented (HiGHS)</w:t>
            </w:r>
          </w:p>
        </w:tc>
        <w:tc>
          <w:tcPr>
            <w:tcW w:w="3120" w:type="dxa"/>
          </w:tcPr>
          <w:p w14:paraId="1FE0989F" w14:textId="77777777" w:rsidR="00CC39A6" w:rsidRDefault="00F53363">
            <w:r>
              <w:t>Preliminary run, 14 Oct 2026; code not yet in the public repository</w:t>
            </w:r>
          </w:p>
        </w:tc>
      </w:tr>
      <w:tr w:rsidR="00CC39A6" w14:paraId="08503C0E" w14:textId="77777777">
        <w:tc>
          <w:tcPr>
            <w:tcW w:w="3120" w:type="dxa"/>
          </w:tcPr>
          <w:p w14:paraId="247E271E" w14:textId="77777777" w:rsidR="00CC39A6" w:rsidRDefault="00F53363">
            <w:r>
              <w:t>Abilene ingestion from SNDlib XML</w:t>
            </w:r>
          </w:p>
        </w:tc>
        <w:tc>
          <w:tcPr>
            <w:tcW w:w="3120" w:type="dxa"/>
          </w:tcPr>
          <w:p w14:paraId="16AF67CB" w14:textId="77777777" w:rsidR="00CC39A6" w:rsidRDefault="00F53363">
            <w:r>
              <w:t>Implemented</w:t>
            </w:r>
          </w:p>
        </w:tc>
        <w:tc>
          <w:tcPr>
            <w:tcW w:w="3120" w:type="dxa"/>
          </w:tcPr>
          <w:p w14:paraId="622D8B92" w14:textId="77777777" w:rsidR="00CC39A6" w:rsidRDefault="00F53363">
            <w:r>
              <w:t>Preliminary run (E2)</w:t>
            </w:r>
          </w:p>
        </w:tc>
      </w:tr>
      <w:tr w:rsidR="00CC39A6" w14:paraId="35F57C17" w14:textId="77777777">
        <w:tc>
          <w:tcPr>
            <w:tcW w:w="3120" w:type="dxa"/>
          </w:tcPr>
          <w:p w14:paraId="091C9AAA" w14:textId="77777777" w:rsidR="00CC39A6" w:rsidRDefault="00F53363">
            <w:r>
              <w:t>GÉANT ingestion, zone mapping, pairing protocol</w:t>
            </w:r>
          </w:p>
        </w:tc>
        <w:tc>
          <w:tcPr>
            <w:tcW w:w="3120" w:type="dxa"/>
          </w:tcPr>
          <w:p w14:paraId="29661A5D" w14:textId="77777777" w:rsidR="00CC39A6" w:rsidRDefault="00F53363">
            <w:r>
              <w:t>Not used in the preliminary run</w:t>
            </w:r>
          </w:p>
        </w:tc>
        <w:tc>
          <w:tcPr>
            <w:tcW w:w="3120" w:type="dxa"/>
          </w:tcPr>
          <w:p w14:paraId="4D0E3AE0" w14:textId="77777777" w:rsidR="00CC39A6" w:rsidRDefault="00F53363">
            <w:r>
              <w:t>E1 used a 6-node proxy network</w:t>
            </w:r>
          </w:p>
        </w:tc>
      </w:tr>
      <w:tr w:rsidR="00CC39A6" w14:paraId="7A140B23" w14:textId="77777777">
        <w:tc>
          <w:tcPr>
            <w:tcW w:w="3120" w:type="dxa"/>
          </w:tcPr>
          <w:p w14:paraId="25A65A98" w14:textId="77777777" w:rsidR="00CC39A6" w:rsidRDefault="00F53363">
            <w:r>
              <w:t>Forecasters: AR(4), exponential smoothing, noisy oracle</w:t>
            </w:r>
          </w:p>
        </w:tc>
        <w:tc>
          <w:tcPr>
            <w:tcW w:w="3120" w:type="dxa"/>
          </w:tcPr>
          <w:p w14:paraId="79EE43B2" w14:textId="77777777" w:rsidR="00CC39A6" w:rsidRDefault="00F53363">
            <w:r>
              <w:t>Implemented</w:t>
            </w:r>
          </w:p>
        </w:tc>
        <w:tc>
          <w:tcPr>
            <w:tcW w:w="3120" w:type="dxa"/>
          </w:tcPr>
          <w:p w14:paraId="44A7F2A2" w14:textId="77777777" w:rsidR="00CC39A6" w:rsidRDefault="00F53363">
            <w:r>
              <w:t>Preliminary run (E2)</w:t>
            </w:r>
          </w:p>
        </w:tc>
      </w:tr>
      <w:tr w:rsidR="00CC39A6" w14:paraId="49662C4A" w14:textId="77777777">
        <w:tc>
          <w:tcPr>
            <w:tcW w:w="3120" w:type="dxa"/>
          </w:tcPr>
          <w:p w14:paraId="6DFC3932" w14:textId="77777777" w:rsidR="00CC39A6" w:rsidRDefault="00F53363">
            <w:r>
              <w:t>Persistence and seasonal-naive forecasters, error quantiles</w:t>
            </w:r>
          </w:p>
        </w:tc>
        <w:tc>
          <w:tcPr>
            <w:tcW w:w="3120" w:type="dxa"/>
          </w:tcPr>
          <w:p w14:paraId="002B1A32" w14:textId="77777777" w:rsidR="00CC39A6" w:rsidRDefault="00F53363">
            <w:r>
              <w:t>Not reported</w:t>
            </w:r>
          </w:p>
        </w:tc>
        <w:tc>
          <w:tcPr>
            <w:tcW w:w="3120" w:type="dxa"/>
          </w:tcPr>
          <w:p w14:paraId="10989A5A" w14:textId="77777777" w:rsidR="00CC39A6" w:rsidRDefault="00F53363">
            <w:r>
              <w:t>—</w:t>
            </w:r>
          </w:p>
        </w:tc>
      </w:tr>
      <w:tr w:rsidR="00CC39A6" w14:paraId="12C508A9" w14:textId="77777777">
        <w:tc>
          <w:tcPr>
            <w:tcW w:w="3120" w:type="dxa"/>
          </w:tcPr>
          <w:p w14:paraId="6FBDE090" w14:textId="77777777" w:rsidR="00CC39A6" w:rsidRDefault="00F53363">
            <w:r>
              <w:t>Route-change penalty λ and commit rule (8)–(9)</w:t>
            </w:r>
          </w:p>
        </w:tc>
        <w:tc>
          <w:tcPr>
            <w:tcW w:w="3120" w:type="dxa"/>
          </w:tcPr>
          <w:p w14:paraId="625CE3E1" w14:textId="77777777" w:rsidR="00CC39A6" w:rsidRDefault="00F53363">
            <w:r>
              <w:t>Not evaluated</w:t>
            </w:r>
          </w:p>
        </w:tc>
        <w:tc>
          <w:tcPr>
            <w:tcW w:w="3120" w:type="dxa"/>
          </w:tcPr>
          <w:p w14:paraId="209F1A6A" w14:textId="77777777" w:rsidR="00CC39A6" w:rsidRDefault="00F53363">
            <w:r>
              <w:t>No E2 policy uses them</w:t>
            </w:r>
          </w:p>
        </w:tc>
      </w:tr>
      <w:tr w:rsidR="00CC39A6" w14:paraId="128DC9C2" w14:textId="77777777">
        <w:tc>
          <w:tcPr>
            <w:tcW w:w="3120" w:type="dxa"/>
          </w:tcPr>
          <w:p w14:paraId="2BE9FF0E" w14:textId="77777777" w:rsidR="00CC39A6" w:rsidRDefault="00F53363">
            <w:r>
              <w:t>Sleeping</w:t>
            </w:r>
          </w:p>
        </w:tc>
        <w:tc>
          <w:tcPr>
            <w:tcW w:w="3120" w:type="dxa"/>
          </w:tcPr>
          <w:p w14:paraId="4AEA96C0" w14:textId="77777777" w:rsidR="00CC39A6" w:rsidRDefault="00F53363">
            <w:r>
              <w:t>Heuristic consolidation implemented; exact MILP of Section 4.6 not implemented</w:t>
            </w:r>
          </w:p>
        </w:tc>
        <w:tc>
          <w:tcPr>
            <w:tcW w:w="3120" w:type="dxa"/>
          </w:tcPr>
          <w:p w14:paraId="24A61559" w14:textId="77777777" w:rsidR="00CC39A6" w:rsidRDefault="00F53363">
            <w:r>
              <w:t>E3-A</w:t>
            </w:r>
          </w:p>
        </w:tc>
      </w:tr>
      <w:tr w:rsidR="00CC39A6" w14:paraId="20917E17" w14:textId="77777777">
        <w:tc>
          <w:tcPr>
            <w:tcW w:w="3120" w:type="dxa"/>
          </w:tcPr>
          <w:p w14:paraId="6481C375" w14:textId="77777777" w:rsidR="00CC39A6" w:rsidRDefault="00F53363">
            <w:r>
              <w:t xml:space="preserve">SDN installation of computed </w:t>
            </w:r>
            <w:r>
              <w:lastRenderedPageBreak/>
              <w:t>routes</w:t>
            </w:r>
          </w:p>
        </w:tc>
        <w:tc>
          <w:tcPr>
            <w:tcW w:w="3120" w:type="dxa"/>
          </w:tcPr>
          <w:p w14:paraId="6134513E" w14:textId="77777777" w:rsidR="00CC39A6" w:rsidRDefault="00F53363">
            <w:r>
              <w:lastRenderedPageBreak/>
              <w:t xml:space="preserve">Proposed; current controller </w:t>
            </w:r>
            <w:r>
              <w:lastRenderedPageBreak/>
              <w:t>performs MAC learning only</w:t>
            </w:r>
          </w:p>
        </w:tc>
        <w:tc>
          <w:tcPr>
            <w:tcW w:w="3120" w:type="dxa"/>
          </w:tcPr>
          <w:p w14:paraId="2F1DAD63" w14:textId="77777777" w:rsidR="00CC39A6" w:rsidRDefault="00F53363">
            <w:r>
              <w:rPr>
                <w:rStyle w:val="CodeChar"/>
              </w:rPr>
              <w:lastRenderedPageBreak/>
              <w:t>controller/ryu_app.py</w:t>
            </w:r>
          </w:p>
        </w:tc>
      </w:tr>
    </w:tbl>
    <w:p w14:paraId="089F0B01" w14:textId="77777777" w:rsidR="00CC39A6" w:rsidRDefault="00F53363">
      <w:r>
        <w:t>With the method defined, Section 5 specifies the data, parameter choices, baselines and statistical protocol under which it is evaluated.</w:t>
      </w:r>
    </w:p>
    <w:p w14:paraId="5875E640" w14:textId="77777777" w:rsidR="00CC39A6" w:rsidRDefault="00F53363">
      <w:pPr>
        <w:pStyle w:val="Heading2"/>
      </w:pPr>
      <w:r>
        <w:t>5 Experimental Setup</w:t>
      </w:r>
    </w:p>
    <w:p w14:paraId="3E0F0AA1" w14:textId="77777777" w:rsidR="00CC39A6" w:rsidRDefault="00F53363">
      <w:r>
        <w:t>Section 2.5 identified three requirements for a credible evaluation of carbon-aware TE: power assumptions must be varied, traffic and carbon data must be paired by a declared protocol, and results must be checked on more than one network. This section shows how each is met. Section 5.1 describes the datasets, Section 5.2 preprocessing and the pairing protocol, Section 5.3 the power model parameters, Section 5.4 baselines and experiments, Section 5.5 the forecasting protocol, Section 5.6 metrics, Section 5.7</w:t>
      </w:r>
      <w:r>
        <w:t xml:space="preserve"> statistical analysis, Section 5.8 the pre-registered decision criteria, and Section 5.9 the software environment. Values marked [TBD] are fixed in the experiment configuration before test data are examined.</w:t>
      </w:r>
    </w:p>
    <w:p w14:paraId="6217931C" w14:textId="77777777" w:rsidR="00CC39A6" w:rsidRDefault="00F53363">
      <w:pPr>
        <w:pStyle w:val="Heading3"/>
      </w:pPr>
      <w:r>
        <w:t>5.1 Datasets</w:t>
      </w:r>
    </w:p>
    <w:p w14:paraId="3D738418" w14:textId="77777777" w:rsidR="00CC39A6" w:rsidRDefault="00F53363">
      <w:r>
        <w:rPr>
          <w:b/>
        </w:rPr>
        <w:t>Table 4.</w:t>
      </w:r>
      <w:r>
        <w:t xml:space="preserve"> Datasets and what each supplies.</w:t>
      </w:r>
    </w:p>
    <w:tbl>
      <w:tblPr>
        <w:tblStyle w:val="TableGrid"/>
        <w:tblW w:w="0" w:type="auto"/>
        <w:tblLayout w:type="fixed"/>
        <w:tblLook w:val="0420" w:firstRow="1" w:lastRow="0" w:firstColumn="0" w:lastColumn="0" w:noHBand="0" w:noVBand="1"/>
      </w:tblPr>
      <w:tblGrid>
        <w:gridCol w:w="2340"/>
        <w:gridCol w:w="2340"/>
        <w:gridCol w:w="2340"/>
        <w:gridCol w:w="2340"/>
      </w:tblGrid>
      <w:tr w:rsidR="00CC39A6" w14:paraId="73D13973" w14:textId="77777777">
        <w:trPr>
          <w:tblHeader/>
        </w:trPr>
        <w:tc>
          <w:tcPr>
            <w:tcW w:w="2340" w:type="dxa"/>
            <w:shd w:val="clear" w:color="auto" w:fill="F2F2F2"/>
          </w:tcPr>
          <w:p w14:paraId="139F6E47" w14:textId="77777777" w:rsidR="00CC39A6" w:rsidRDefault="00F53363">
            <w:r>
              <w:t>Dataset</w:t>
            </w:r>
          </w:p>
        </w:tc>
        <w:tc>
          <w:tcPr>
            <w:tcW w:w="2340" w:type="dxa"/>
            <w:shd w:val="clear" w:color="auto" w:fill="F2F2F2"/>
          </w:tcPr>
          <w:p w14:paraId="6656604C" w14:textId="77777777" w:rsidR="00CC39A6" w:rsidRDefault="00F53363">
            <w:r>
              <w:t>Content used</w:t>
            </w:r>
          </w:p>
        </w:tc>
        <w:tc>
          <w:tcPr>
            <w:tcW w:w="2340" w:type="dxa"/>
            <w:shd w:val="clear" w:color="auto" w:fill="F2F2F2"/>
          </w:tcPr>
          <w:p w14:paraId="1AB940E4" w14:textId="77777777" w:rsidR="00CC39A6" w:rsidRDefault="00F53363">
            <w:r>
              <w:t>Size and period</w:t>
            </w:r>
          </w:p>
        </w:tc>
        <w:tc>
          <w:tcPr>
            <w:tcW w:w="2340" w:type="dxa"/>
            <w:shd w:val="clear" w:color="auto" w:fill="F2F2F2"/>
          </w:tcPr>
          <w:p w14:paraId="4FFB3947" w14:textId="77777777" w:rsidR="00CC39A6" w:rsidRDefault="00F53363">
            <w:r>
              <w:t>Status of each quantity</w:t>
            </w:r>
          </w:p>
        </w:tc>
      </w:tr>
      <w:tr w:rsidR="00CC39A6" w14:paraId="02F8E5AD" w14:textId="77777777">
        <w:tc>
          <w:tcPr>
            <w:tcW w:w="2340" w:type="dxa"/>
          </w:tcPr>
          <w:p w14:paraId="3C95D6C1" w14:textId="77777777" w:rsidR="00CC39A6" w:rsidRDefault="00F53363">
            <w:r>
              <w:t>GÉANT, SNDlib [23], [25]</w:t>
            </w:r>
          </w:p>
        </w:tc>
        <w:tc>
          <w:tcPr>
            <w:tcW w:w="2340" w:type="dxa"/>
          </w:tcPr>
          <w:p w14:paraId="5B5C8C31" w14:textId="77777777" w:rsidR="00CC39A6" w:rsidRDefault="00F53363">
            <w:r>
              <w:t>Directed traffic matrices; topology; node coordinates</w:t>
            </w:r>
          </w:p>
        </w:tc>
        <w:tc>
          <w:tcPr>
            <w:tcW w:w="2340" w:type="dxa"/>
          </w:tcPr>
          <w:p w14:paraId="087B2B17" w14:textId="77777777" w:rsidR="00CC39A6" w:rsidRDefault="00F53363">
            <w:r>
              <w:t>22 nodes, 36 links; 11,460 matrices at 15 min; 4 May – 31 Aug 2005</w:t>
            </w:r>
          </w:p>
        </w:tc>
        <w:tc>
          <w:tcPr>
            <w:tcW w:w="2340" w:type="dxa"/>
          </w:tcPr>
          <w:p w14:paraId="7830CB6C" w14:textId="77777777" w:rsidR="00CC39A6" w:rsidRDefault="00F53363">
            <w:r>
              <w:t>Traffic observed (rescaled by SNDlib); capacities absent, assigned by rule (Section 5.2)</w:t>
            </w:r>
          </w:p>
        </w:tc>
      </w:tr>
      <w:tr w:rsidR="00CC39A6" w14:paraId="220109D0" w14:textId="77777777">
        <w:tc>
          <w:tcPr>
            <w:tcW w:w="2340" w:type="dxa"/>
          </w:tcPr>
          <w:p w14:paraId="218FBFA4" w14:textId="77777777" w:rsidR="00CC39A6" w:rsidRDefault="00F53363">
            <w:r>
              <w:t>Abilene, SNDlib [24], [25]</w:t>
            </w:r>
          </w:p>
        </w:tc>
        <w:tc>
          <w:tcPr>
            <w:tcW w:w="2340" w:type="dxa"/>
          </w:tcPr>
          <w:p w14:paraId="22B7CD59" w14:textId="77777777" w:rsidR="00CC39A6" w:rsidRDefault="00F53363">
            <w:r>
              <w:t>Directed traffic matrices; topology; capacities; coordinates</w:t>
            </w:r>
          </w:p>
        </w:tc>
        <w:tc>
          <w:tcPr>
            <w:tcW w:w="2340" w:type="dxa"/>
          </w:tcPr>
          <w:p w14:paraId="004DA6DA" w14:textId="77777777" w:rsidR="00CC39A6" w:rsidRDefault="00F53363">
            <w:r>
              <w:t>12 nodes, 15 links; 48,096 matrices at 5 min; 1 Mar – 10 Sep 2004</w:t>
            </w:r>
          </w:p>
        </w:tc>
        <w:tc>
          <w:tcPr>
            <w:tcW w:w="2340" w:type="dxa"/>
          </w:tcPr>
          <w:p w14:paraId="3E06B2AA" w14:textId="77777777" w:rsidR="00CC39A6" w:rsidRDefault="00F53363">
            <w:r>
              <w:t>Traffic and capacities observed (9,920 Mbit/s; one link 2,480 Mbit/s)</w:t>
            </w:r>
          </w:p>
        </w:tc>
      </w:tr>
      <w:tr w:rsidR="00CC39A6" w14:paraId="5B3F383F" w14:textId="77777777">
        <w:tc>
          <w:tcPr>
            <w:tcW w:w="2340" w:type="dxa"/>
          </w:tcPr>
          <w:p w14:paraId="1CE24190" w14:textId="77777777" w:rsidR="00CC39A6" w:rsidRDefault="00F53363">
            <w:r>
              <w:t>ENTSO-E Transparency Platform [26]</w:t>
            </w:r>
          </w:p>
        </w:tc>
        <w:tc>
          <w:tcPr>
            <w:tcW w:w="2340" w:type="dxa"/>
          </w:tcPr>
          <w:p w14:paraId="2EF9F25A" w14:textId="77777777" w:rsidR="00CC39A6" w:rsidRDefault="00F53363">
            <w:r>
              <w:t>Hourly generation by production type, per country</w:t>
            </w:r>
          </w:p>
        </w:tc>
        <w:tc>
          <w:tcPr>
            <w:tcW w:w="2340" w:type="dxa"/>
          </w:tcPr>
          <w:p w14:paraId="45D333A6" w14:textId="77777777" w:rsidR="00CC39A6" w:rsidRDefault="00F53363">
            <w:r>
              <w:t>Grid years [TBD]</w:t>
            </w:r>
          </w:p>
        </w:tc>
        <w:tc>
          <w:tcPr>
            <w:tcW w:w="2340" w:type="dxa"/>
          </w:tcPr>
          <w:p w14:paraId="52712FAF" w14:textId="77777777" w:rsidR="00CC39A6" w:rsidRDefault="00F53363">
            <w:r>
              <w:t>Observed; intensity computed with documented emission factors</w:t>
            </w:r>
          </w:p>
        </w:tc>
      </w:tr>
      <w:tr w:rsidR="00CC39A6" w14:paraId="0C2690E0" w14:textId="77777777">
        <w:tc>
          <w:tcPr>
            <w:tcW w:w="2340" w:type="dxa"/>
          </w:tcPr>
          <w:p w14:paraId="235DA367" w14:textId="77777777" w:rsidR="00CC39A6" w:rsidRDefault="00F53363">
            <w:r>
              <w:t>Electricity Maps data portal [27]</w:t>
            </w:r>
          </w:p>
        </w:tc>
        <w:tc>
          <w:tcPr>
            <w:tcW w:w="2340" w:type="dxa"/>
          </w:tcPr>
          <w:p w14:paraId="5A526A14" w14:textId="77777777" w:rsidR="00CC39A6" w:rsidRDefault="00F53363">
            <w:r>
              <w:t>Hourly carbon intensity, per country</w:t>
            </w:r>
          </w:p>
        </w:tc>
        <w:tc>
          <w:tcPr>
            <w:tcW w:w="2340" w:type="dxa"/>
          </w:tcPr>
          <w:p w14:paraId="26BC5BEE" w14:textId="77777777" w:rsidR="00CC39A6" w:rsidRDefault="00F53363">
            <w:r>
              <w:t>Grid years [TBD]</w:t>
            </w:r>
          </w:p>
        </w:tc>
        <w:tc>
          <w:tcPr>
            <w:tcW w:w="2340" w:type="dxa"/>
          </w:tcPr>
          <w:p w14:paraId="231F8B0F" w14:textId="77777777" w:rsidR="00CC39A6" w:rsidRDefault="00F53363">
            <w:r>
              <w:t>Observed; alternative source for cross-checking</w:t>
            </w:r>
          </w:p>
        </w:tc>
      </w:tr>
      <w:tr w:rsidR="00CC39A6" w14:paraId="41AD69C6" w14:textId="77777777">
        <w:tc>
          <w:tcPr>
            <w:tcW w:w="2340" w:type="dxa"/>
          </w:tcPr>
          <w:p w14:paraId="3E908D5C" w14:textId="77777777" w:rsidR="00CC39A6" w:rsidRDefault="00F53363">
            <w:r>
              <w:t>U.S. EIA-930 [28]</w:t>
            </w:r>
          </w:p>
        </w:tc>
        <w:tc>
          <w:tcPr>
            <w:tcW w:w="2340" w:type="dxa"/>
          </w:tcPr>
          <w:p w14:paraId="4A8BCDCD" w14:textId="77777777" w:rsidR="00CC39A6" w:rsidRDefault="00F53363">
            <w:r>
              <w:t>Hourly net generation by source and estimated CO₂, per balancing authority</w:t>
            </w:r>
          </w:p>
        </w:tc>
        <w:tc>
          <w:tcPr>
            <w:tcW w:w="2340" w:type="dxa"/>
          </w:tcPr>
          <w:p w14:paraId="706300F8" w14:textId="77777777" w:rsidR="00CC39A6" w:rsidRDefault="00F53363">
            <w:r>
              <w:t>Available from 1 Jul 2018</w:t>
            </w:r>
          </w:p>
        </w:tc>
        <w:tc>
          <w:tcPr>
            <w:tcW w:w="2340" w:type="dxa"/>
          </w:tcPr>
          <w:p w14:paraId="21291F95" w14:textId="77777777" w:rsidR="00CC39A6" w:rsidRDefault="00F53363">
            <w:r>
              <w:t>Observed</w:t>
            </w:r>
          </w:p>
        </w:tc>
      </w:tr>
    </w:tbl>
    <w:p w14:paraId="34BFB82F" w14:textId="77777777" w:rsidR="00CC39A6" w:rsidRDefault="00F53363">
      <w:r>
        <w:lastRenderedPageBreak/>
        <w:t>GÉANT is the primary network because its nodes lie in European countries with very different generation mixes and because the closest prior work evaluated GÉANT [6], [10]. Abilene serves as independent validation on a different continent, grid, operator, year and sampling interval. Matrices that the SNDlib readme files identify as empty, almost empty or corrupt are excluded from all methods alike [25].</w:t>
      </w:r>
    </w:p>
    <w:p w14:paraId="3A09A217" w14:textId="77777777" w:rsidR="00CC39A6" w:rsidRDefault="00F53363">
      <w:pPr>
        <w:pStyle w:val="Heading3"/>
      </w:pPr>
      <w:r>
        <w:t>5.2 Preprocessing and Pairing Protocol</w:t>
      </w:r>
    </w:p>
    <w:p w14:paraId="1E9C1CFB" w14:textId="77777777" w:rsidR="00CC39A6" w:rsidRDefault="00F53363">
      <w:r>
        <w:rPr>
          <w:i/>
        </w:rPr>
        <w:t>Zones.</w:t>
      </w:r>
      <w:r>
        <w:t xml:space="preserve"> Each GÉANT node is mapped to the country encoded in its identifier; the node in New York is mapped to its U.S. balancing authority through EIA-930 [28], and coverage for the node in Israel is [TBD]. Each Abilene node is mapped to the balancing authority serving its city.</w:t>
      </w:r>
    </w:p>
    <w:p w14:paraId="66108DBE" w14:textId="77777777" w:rsidR="00CC39A6" w:rsidRDefault="00F53363">
      <w:r>
        <w:rPr>
          <w:i/>
        </w:rPr>
        <w:t>Capacities.</w:t>
      </w:r>
      <w:r>
        <w:t xml:space="preserve"> Because SNDlib provides no installed capacities for GÉANT, each GÉANT link is assigned the smallest standard rate that keeps its 95th-percentile utilisation under delay-shortest-path routing at or below [TBD]% on the tuning period. The same rule is applied when Abilene's observed capacities are replaced in a sensitivity check.</w:t>
      </w:r>
    </w:p>
    <w:p w14:paraId="241A9395" w14:textId="77777777" w:rsidR="00CC39A6" w:rsidRDefault="00F53363">
      <w:r>
        <w:rPr>
          <w:i/>
        </w:rPr>
        <w:t>Latency.</w:t>
      </w:r>
      <w:r>
        <w:t xml:space="preserve"> Link delay is the great-circle distance multiplied by a detour factor f and divided by the propagation speed in fibre (about 2 × 10⁵ km/s); f = [TBD] and is varied in a sensitivity check. The latency bound of demand k is L_k = (1 + s) times its smallest candidate-path delay, with slack s = [TBD], also varied.</w:t>
      </w:r>
    </w:p>
    <w:p w14:paraId="2A9C81A3" w14:textId="77777777" w:rsidR="00CC39A6" w:rsidRDefault="00F53363">
      <w:r>
        <w:rPr>
          <w:i/>
        </w:rPr>
        <w:t>Pairing.</w:t>
      </w:r>
      <w:r>
        <w:t xml:space="preserve"> The traffic data predate public hourly grid data by more than a decade, so the two cannot be synchronised history. Each traffic timestamp is mapped to the hour with the same local weekday and hour-of-day in a chosen grid year, with the week of the year preserved; hourly intensity is held constant within the hour. The study is repeated for every available grid year, which yields independent pairings of the same traffic. This protocol preserves diurnal and weekly structure in both series but not any true cor</w:t>
      </w:r>
      <w:r>
        <w:t>relation between them, a limitation discussed in Section 7.</w:t>
      </w:r>
    </w:p>
    <w:p w14:paraId="51262122" w14:textId="77777777" w:rsidR="00CC39A6" w:rsidRDefault="00F53363">
      <w:pPr>
        <w:pStyle w:val="Heading3"/>
      </w:pPr>
      <w:r>
        <w:t>5.3 Power Model Parameters</w:t>
      </w:r>
    </w:p>
    <w:p w14:paraId="3ED1E3CD" w14:textId="77777777" w:rsidR="00CC39A6" w:rsidRDefault="00F53363">
      <w:r>
        <w:t>Two device profiles, a modular backbone router and a fixed-configuration switch, supply P^max and Γ from public vendor datasheets listed in Appendix A [TBD], following the practice of [6], [10], [13]. The idle share ρ is swept over {0, 0.25, 0.5, 0.75, 0.8}: ρ = 0 is a fully power-proportional reference, and ρ between 0.75 and 0.8 reflects the chassis-router range reported in [6]. All energies and emissions in Section 6 are labelled as modeled.</w:t>
      </w:r>
    </w:p>
    <w:p w14:paraId="151D1022" w14:textId="77777777" w:rsidR="00CC39A6" w:rsidRDefault="00F53363">
      <w:pPr>
        <w:pStyle w:val="Heading3"/>
      </w:pPr>
      <w:r>
        <w:t>5.4 Baselines and Experiments</w:t>
      </w:r>
    </w:p>
    <w:p w14:paraId="1700A7F8" w14:textId="77777777" w:rsidR="00CC39A6" w:rsidRDefault="00F53363">
      <w:r>
        <w:t>Every method receives the same topology, demands, capacities, latency bounds and power model; the constrained methods also share the same candidate paths.</w:t>
      </w:r>
    </w:p>
    <w:p w14:paraId="0F3890BD" w14:textId="77777777" w:rsidR="00CC39A6" w:rsidRDefault="00F53363">
      <w:r>
        <w:rPr>
          <w:b/>
        </w:rPr>
        <w:t>Table 5.</w:t>
      </w:r>
      <w:r>
        <w:t xml:space="preserve"> Methods compared.</w:t>
      </w:r>
    </w:p>
    <w:tbl>
      <w:tblPr>
        <w:tblStyle w:val="TableGrid"/>
        <w:tblW w:w="0" w:type="auto"/>
        <w:tblLayout w:type="fixed"/>
        <w:tblLook w:val="0420" w:firstRow="1" w:lastRow="0" w:firstColumn="0" w:lastColumn="0" w:noHBand="0" w:noVBand="1"/>
      </w:tblPr>
      <w:tblGrid>
        <w:gridCol w:w="3120"/>
        <w:gridCol w:w="3120"/>
        <w:gridCol w:w="3120"/>
      </w:tblGrid>
      <w:tr w:rsidR="00CC39A6" w14:paraId="2A2A3F1E" w14:textId="77777777">
        <w:trPr>
          <w:tblHeader/>
        </w:trPr>
        <w:tc>
          <w:tcPr>
            <w:tcW w:w="3120" w:type="dxa"/>
            <w:shd w:val="clear" w:color="auto" w:fill="F2F2F2"/>
          </w:tcPr>
          <w:p w14:paraId="08156C9E" w14:textId="77777777" w:rsidR="00CC39A6" w:rsidRDefault="00F53363">
            <w:r>
              <w:t>Method</w:t>
            </w:r>
          </w:p>
        </w:tc>
        <w:tc>
          <w:tcPr>
            <w:tcW w:w="3120" w:type="dxa"/>
            <w:shd w:val="clear" w:color="auto" w:fill="F2F2F2"/>
          </w:tcPr>
          <w:p w14:paraId="38F4A797" w14:textId="77777777" w:rsidR="00CC39A6" w:rsidRDefault="00F53363">
            <w:r>
              <w:t>Information used</w:t>
            </w:r>
          </w:p>
        </w:tc>
        <w:tc>
          <w:tcPr>
            <w:tcW w:w="3120" w:type="dxa"/>
            <w:shd w:val="clear" w:color="auto" w:fill="F2F2F2"/>
          </w:tcPr>
          <w:p w14:paraId="1CCE1C8E" w14:textId="77777777" w:rsidR="00CC39A6" w:rsidRDefault="00F53363">
            <w:r>
              <w:t>Purpose</w:t>
            </w:r>
          </w:p>
        </w:tc>
      </w:tr>
      <w:tr w:rsidR="00CC39A6" w14:paraId="3C23B035" w14:textId="77777777">
        <w:tc>
          <w:tcPr>
            <w:tcW w:w="3120" w:type="dxa"/>
          </w:tcPr>
          <w:p w14:paraId="31C418F9" w14:textId="77777777" w:rsidR="00CC39A6" w:rsidRDefault="00F53363">
            <w:r>
              <w:t>Hop-count shortest path</w:t>
            </w:r>
          </w:p>
        </w:tc>
        <w:tc>
          <w:tcPr>
            <w:tcW w:w="3120" w:type="dxa"/>
          </w:tcPr>
          <w:p w14:paraId="4AFECF57" w14:textId="77777777" w:rsidR="00CC39A6" w:rsidRDefault="00F53363">
            <w:r>
              <w:t>Topology</w:t>
            </w:r>
          </w:p>
        </w:tc>
        <w:tc>
          <w:tcPr>
            <w:tcW w:w="3120" w:type="dxa"/>
          </w:tcPr>
          <w:p w14:paraId="2C651001" w14:textId="77777777" w:rsidR="00CC39A6" w:rsidRDefault="00F53363">
            <w:r>
              <w:t>Prototype baseline; reports violations rather than avoiding them</w:t>
            </w:r>
          </w:p>
        </w:tc>
      </w:tr>
      <w:tr w:rsidR="00CC39A6" w14:paraId="148EFA98" w14:textId="77777777">
        <w:tc>
          <w:tcPr>
            <w:tcW w:w="3120" w:type="dxa"/>
          </w:tcPr>
          <w:p w14:paraId="402BC3C9" w14:textId="77777777" w:rsidR="00CC39A6" w:rsidRDefault="00F53363">
            <w:r>
              <w:lastRenderedPageBreak/>
              <w:t>Delay shortest path</w:t>
            </w:r>
          </w:p>
        </w:tc>
        <w:tc>
          <w:tcPr>
            <w:tcW w:w="3120" w:type="dxa"/>
          </w:tcPr>
          <w:p w14:paraId="6A02CA63" w14:textId="77777777" w:rsidR="00CC39A6" w:rsidRDefault="00F53363">
            <w:r>
              <w:t>Topology, delays</w:t>
            </w:r>
          </w:p>
        </w:tc>
        <w:tc>
          <w:tcPr>
            <w:tcW w:w="3120" w:type="dxa"/>
          </w:tcPr>
          <w:p w14:paraId="081B260A" w14:textId="77777777" w:rsidR="00CC39A6" w:rsidRDefault="00F53363">
            <w:r>
              <w:t>Operator default; normalisation reference for savings</w:t>
            </w:r>
          </w:p>
        </w:tc>
      </w:tr>
      <w:tr w:rsidR="00CC39A6" w14:paraId="035D4989" w14:textId="77777777">
        <w:tc>
          <w:tcPr>
            <w:tcW w:w="3120" w:type="dxa"/>
          </w:tcPr>
          <w:p w14:paraId="4C304C18" w14:textId="77777777" w:rsidR="00CC39A6" w:rsidRDefault="00F53363">
            <w:r>
              <w:t>Min-MLU TE (LP)</w:t>
            </w:r>
          </w:p>
        </w:tc>
        <w:tc>
          <w:tcPr>
            <w:tcW w:w="3120" w:type="dxa"/>
          </w:tcPr>
          <w:p w14:paraId="73E41B5E" w14:textId="77777777" w:rsidR="00CC39A6" w:rsidRDefault="00F53363">
            <w:r>
              <w:t>Current demand</w:t>
            </w:r>
          </w:p>
        </w:tc>
        <w:tc>
          <w:tcPr>
            <w:tcW w:w="3120" w:type="dxa"/>
          </w:tcPr>
          <w:p w14:paraId="10FADF82" w14:textId="77777777" w:rsidR="00CC39A6" w:rsidRDefault="00F53363">
            <w:r>
              <w:t>Capacity-optimal reference [3]–[5]</w:t>
            </w:r>
          </w:p>
        </w:tc>
      </w:tr>
      <w:tr w:rsidR="00CC39A6" w14:paraId="0AB4D5FF" w14:textId="77777777">
        <w:tc>
          <w:tcPr>
            <w:tcW w:w="3120" w:type="dxa"/>
          </w:tcPr>
          <w:p w14:paraId="2CDAAEF0" w14:textId="77777777" w:rsidR="00CC39A6" w:rsidRDefault="00F53363">
            <w:r>
              <w:t>Carbon link metric [6]</w:t>
            </w:r>
          </w:p>
        </w:tc>
        <w:tc>
          <w:tcPr>
            <w:tcW w:w="3120" w:type="dxa"/>
          </w:tcPr>
          <w:p w14:paraId="5C76006E" w14:textId="77777777" w:rsidR="00CC39A6" w:rsidRDefault="00F53363">
            <w:r>
              <w:t>Current intensity, dynamic power</w:t>
            </w:r>
          </w:p>
        </w:tc>
        <w:tc>
          <w:tcPr>
            <w:tcW w:w="3120" w:type="dxa"/>
          </w:tcPr>
          <w:p w14:paraId="35FB7499" w14:textId="77777777" w:rsidR="00CC39A6" w:rsidRDefault="00F53363">
            <w:r>
              <w:t>Closest published carbon-aware baseline</w:t>
            </w:r>
          </w:p>
        </w:tc>
      </w:tr>
      <w:tr w:rsidR="00CC39A6" w14:paraId="04905A57" w14:textId="77777777">
        <w:tc>
          <w:tcPr>
            <w:tcW w:w="3120" w:type="dxa"/>
          </w:tcPr>
          <w:p w14:paraId="568244E4" w14:textId="77777777" w:rsidR="00CC39A6" w:rsidRDefault="00F53363">
            <w:r>
              <w:t>Myopic carbon-aware (P2)</w:t>
            </w:r>
          </w:p>
        </w:tc>
        <w:tc>
          <w:tcPr>
            <w:tcW w:w="3120" w:type="dxa"/>
          </w:tcPr>
          <w:p w14:paraId="5E99D3F1" w14:textId="77777777" w:rsidR="00CC39A6" w:rsidRDefault="00F53363">
            <w:r>
              <w:t>Previous-slot intensity and demand</w:t>
            </w:r>
          </w:p>
        </w:tc>
        <w:tc>
          <w:tcPr>
            <w:tcW w:w="3120" w:type="dxa"/>
          </w:tcPr>
          <w:p w14:paraId="4E649AB8" w14:textId="77777777" w:rsidR="00CC39A6" w:rsidRDefault="00F53363">
            <w:r>
              <w:t>Repaired form of current carbon-aware routing</w:t>
            </w:r>
          </w:p>
        </w:tc>
      </w:tr>
      <w:tr w:rsidR="00CC39A6" w14:paraId="0539392C" w14:textId="77777777">
        <w:tc>
          <w:tcPr>
            <w:tcW w:w="3120" w:type="dxa"/>
          </w:tcPr>
          <w:p w14:paraId="30E678C0" w14:textId="77777777" w:rsidR="00CC39A6" w:rsidRDefault="00F53363">
            <w:r>
              <w:t>Forecast-driven, λ = 0</w:t>
            </w:r>
          </w:p>
        </w:tc>
        <w:tc>
          <w:tcPr>
            <w:tcW w:w="3120" w:type="dxa"/>
          </w:tcPr>
          <w:p w14:paraId="14B3199F" w14:textId="77777777" w:rsidR="00CC39A6" w:rsidRDefault="00F53363">
            <w:r>
              <w:t>Forecasts</w:t>
            </w:r>
          </w:p>
        </w:tc>
        <w:tc>
          <w:tcPr>
            <w:tcW w:w="3120" w:type="dxa"/>
          </w:tcPr>
          <w:p w14:paraId="35EAA142" w14:textId="77777777" w:rsidR="00CC39A6" w:rsidRDefault="00F53363">
            <w:r>
              <w:t>Effect of forecasts without a change cost</w:t>
            </w:r>
          </w:p>
        </w:tc>
      </w:tr>
      <w:tr w:rsidR="00CC39A6" w14:paraId="3387C815" w14:textId="77777777">
        <w:tc>
          <w:tcPr>
            <w:tcW w:w="3120" w:type="dxa"/>
          </w:tcPr>
          <w:p w14:paraId="7F52F870" w14:textId="77777777" w:rsidR="00CC39A6" w:rsidRDefault="00F53363">
            <w:r>
              <w:t>Forecast-driven, point rule (α = 0.5)</w:t>
            </w:r>
          </w:p>
        </w:tc>
        <w:tc>
          <w:tcPr>
            <w:tcW w:w="3120" w:type="dxa"/>
          </w:tcPr>
          <w:p w14:paraId="2D11EE61" w14:textId="77777777" w:rsidR="00CC39A6" w:rsidRDefault="00F53363">
            <w:r>
              <w:t>Forecasts, λ</w:t>
            </w:r>
          </w:p>
        </w:tc>
        <w:tc>
          <w:tcPr>
            <w:tcW w:w="3120" w:type="dxa"/>
          </w:tcPr>
          <w:p w14:paraId="23F2C54C" w14:textId="77777777" w:rsidR="00CC39A6" w:rsidRDefault="00F53363">
            <w:r>
              <w:t>Effect of the change cost without uncertainty gating</w:t>
            </w:r>
          </w:p>
        </w:tc>
      </w:tr>
      <w:tr w:rsidR="00CC39A6" w14:paraId="72BC9D38" w14:textId="77777777">
        <w:tc>
          <w:tcPr>
            <w:tcW w:w="3120" w:type="dxa"/>
          </w:tcPr>
          <w:p w14:paraId="7B138E70" w14:textId="77777777" w:rsidR="00CC39A6" w:rsidRDefault="00F53363">
            <w:r>
              <w:rPr>
                <w:b/>
              </w:rPr>
              <w:t>EcoRouteAI</w:t>
            </w:r>
            <w:r>
              <w:t xml:space="preserve"> (P3 + commit rule)</w:t>
            </w:r>
          </w:p>
        </w:tc>
        <w:tc>
          <w:tcPr>
            <w:tcW w:w="3120" w:type="dxa"/>
          </w:tcPr>
          <w:p w14:paraId="384C6376" w14:textId="77777777" w:rsidR="00CC39A6" w:rsidRDefault="00F53363">
            <w:r>
              <w:t>Forecasts, λ, error quantiles</w:t>
            </w:r>
          </w:p>
        </w:tc>
        <w:tc>
          <w:tcPr>
            <w:tcW w:w="3120" w:type="dxa"/>
          </w:tcPr>
          <w:p w14:paraId="65907A9C" w14:textId="77777777" w:rsidR="00CC39A6" w:rsidRDefault="00F53363">
            <w:r>
              <w:t>Proposed method</w:t>
            </w:r>
          </w:p>
        </w:tc>
      </w:tr>
      <w:tr w:rsidR="00CC39A6" w14:paraId="770DBFD2" w14:textId="77777777">
        <w:tc>
          <w:tcPr>
            <w:tcW w:w="3120" w:type="dxa"/>
          </w:tcPr>
          <w:p w14:paraId="48E8526C" w14:textId="77777777" w:rsidR="00CC39A6" w:rsidRDefault="00F53363">
            <w:r>
              <w:t>Perfect foresight (P1, P1-λ)</w:t>
            </w:r>
          </w:p>
        </w:tc>
        <w:tc>
          <w:tcPr>
            <w:tcW w:w="3120" w:type="dxa"/>
          </w:tcPr>
          <w:p w14:paraId="13AED46D" w14:textId="77777777" w:rsidR="00CC39A6" w:rsidRDefault="00F53363">
            <w:r>
              <w:t>True future values</w:t>
            </w:r>
          </w:p>
        </w:tc>
        <w:tc>
          <w:tcPr>
            <w:tcW w:w="3120" w:type="dxa"/>
          </w:tcPr>
          <w:p w14:paraId="35180F3F" w14:textId="77777777" w:rsidR="00CC39A6" w:rsidRDefault="00F53363">
            <w:r>
              <w:t>Upper bounds; not deployable</w:t>
            </w:r>
          </w:p>
        </w:tc>
      </w:tr>
    </w:tbl>
    <w:p w14:paraId="6584D69E" w14:textId="77777777" w:rsidR="00CC39A6" w:rsidRDefault="00F53363">
      <w:r>
        <w:t xml:space="preserve">Four experiments use these methods. </w:t>
      </w:r>
      <w:r>
        <w:rPr>
          <w:b/>
        </w:rPr>
        <w:t>E1</w:t>
      </w:r>
      <w:r>
        <w:t xml:space="preserve"> compares delay shortest path, min-MLU, the carbon metric, (P2) and (P1) across ρ to bound the routing-only saving. </w:t>
      </w:r>
      <w:r>
        <w:rPr>
          <w:b/>
        </w:rPr>
        <w:t>E2</w:t>
      </w:r>
      <w:r>
        <w:t xml:space="preserve"> compares all forecast-driven variants with (P2) and (P1-λ) under persistence, seasonal-naive and, if admitted, learned forecasts. </w:t>
      </w:r>
      <w:r>
        <w:rPr>
          <w:b/>
        </w:rPr>
        <w:t>E3</w:t>
      </w:r>
      <w:r>
        <w:t xml:space="preserve"> repeats E1 and E2 on Abilene with parameters frozen from GÉANT, and stresses GÉANT with all single-link failures, demand scaled until min-MLU saturates, and withheld intensity data. </w:t>
      </w:r>
      <w:r>
        <w:rPr>
          <w:b/>
        </w:rPr>
        <w:t>E4</w:t>
      </w:r>
      <w:r>
        <w:t xml:space="preserve"> sweeps λ, α, H and N, and removes one component at a time.</w:t>
      </w:r>
    </w:p>
    <w:p w14:paraId="342A6B01" w14:textId="77777777" w:rsidR="00CC39A6" w:rsidRDefault="00F53363">
      <w:pPr>
        <w:pStyle w:val="Heading3"/>
      </w:pPr>
      <w:r>
        <w:t>5.5 Forecasting Protocol and Leakage Prevention</w:t>
      </w:r>
    </w:p>
    <w:p w14:paraId="5A57C5A7" w14:textId="77777777" w:rsidR="00CC39A6" w:rsidRDefault="00F53363">
      <w:r>
        <w:t>GÉANT is split chronologically: parameters are tuned on 4 May – 15 July 2005 and results are reported on 16 July – 31 August 2005. Abilene is evaluated with GÉANT's tuned parameters, after a two-week warm-up that seeds the traffic forecasters. Carbon forecasters and their error quantiles are fitted on the grid year preceding the evaluation year. At every decision time τ, each deployable method uses only observations up to τ; only (P1) and (P1-λ) see future values, and they are reported solely as bounds.</w:t>
      </w:r>
    </w:p>
    <w:p w14:paraId="74466BA9" w14:textId="77777777" w:rsidR="00CC39A6" w:rsidRDefault="00F53363">
      <w:pPr>
        <w:pStyle w:val="Heading3"/>
      </w:pPr>
      <w:r>
        <w:t>5.6 Metrics</w:t>
      </w:r>
    </w:p>
    <w:p w14:paraId="4C9D23FC" w14:textId="77777777" w:rsidR="00CC39A6" w:rsidRDefault="00F53363">
      <w:r>
        <w:t>The evaluation uses the smallest set of metrics that tests the research question:</w:t>
      </w:r>
    </w:p>
    <w:p w14:paraId="437A6279" w14:textId="77777777" w:rsidR="00CC39A6" w:rsidRDefault="00F53363">
      <w:pPr>
        <w:pStyle w:val="ListParagraph"/>
        <w:numPr>
          <w:ilvl w:val="0"/>
          <w:numId w:val="4"/>
        </w:numPr>
      </w:pPr>
      <w:r>
        <w:rPr>
          <w:b/>
        </w:rPr>
        <w:t>Emissions</w:t>
      </w:r>
      <w:r>
        <w:t xml:space="preserve"> M (gCO₂e), total, per delivered Gbit, and its routing-dependent component from (4).</w:t>
      </w:r>
    </w:p>
    <w:p w14:paraId="49209353" w14:textId="77777777" w:rsidR="00CC39A6" w:rsidRDefault="00F53363">
      <w:pPr>
        <w:pStyle w:val="ListParagraph"/>
        <w:numPr>
          <w:ilvl w:val="0"/>
          <w:numId w:val="4"/>
        </w:numPr>
      </w:pPr>
      <w:r>
        <w:rPr>
          <w:b/>
        </w:rPr>
        <w:t>Energy</w:t>
      </w:r>
      <w:r>
        <w:t xml:space="preserve"> E (kWh), to separate energy effects from shifts between grid zones.</w:t>
      </w:r>
    </w:p>
    <w:p w14:paraId="01C0A90E" w14:textId="77777777" w:rsidR="00CC39A6" w:rsidRDefault="00F53363">
      <w:pPr>
        <w:pStyle w:val="ListParagraph"/>
        <w:numPr>
          <w:ilvl w:val="0"/>
          <w:numId w:val="4"/>
        </w:numPr>
      </w:pPr>
      <w:r>
        <w:rPr>
          <w:b/>
        </w:rPr>
        <w:t>Saving retained</w:t>
      </w:r>
      <w:r>
        <w:t>: the share of the (P1-λ) saving over delay shortest path that a method achieves.</w:t>
      </w:r>
    </w:p>
    <w:p w14:paraId="57221FA7" w14:textId="77777777" w:rsidR="00CC39A6" w:rsidRDefault="00F53363">
      <w:pPr>
        <w:pStyle w:val="ListParagraph"/>
        <w:numPr>
          <w:ilvl w:val="0"/>
          <w:numId w:val="4"/>
        </w:numPr>
      </w:pPr>
      <w:r>
        <w:rPr>
          <w:b/>
        </w:rPr>
        <w:t>Maximum link utilisation</w:t>
      </w:r>
      <w:r>
        <w:t xml:space="preserve">, and the </w:t>
      </w:r>
      <w:r>
        <w:rPr>
          <w:b/>
        </w:rPr>
        <w:t>violation rate</w:t>
      </w:r>
      <w:r>
        <w:t>: the share of demand-slots on a link loaded above capacity or on a path above L_k under the observed demand.</w:t>
      </w:r>
    </w:p>
    <w:p w14:paraId="532531E5" w14:textId="77777777" w:rsidR="00CC39A6" w:rsidRDefault="00F53363">
      <w:pPr>
        <w:pStyle w:val="ListParagraph"/>
        <w:numPr>
          <w:ilvl w:val="0"/>
          <w:numId w:val="4"/>
        </w:numPr>
      </w:pPr>
      <w:r>
        <w:rPr>
          <w:b/>
        </w:rPr>
        <w:t>Churn</w:t>
      </w:r>
      <w:r>
        <w:t>: traffic moved per hour as a share of total demand, from (5), and the number of slots in which the routing changed.</w:t>
      </w:r>
    </w:p>
    <w:p w14:paraId="54F80212" w14:textId="77777777" w:rsidR="00CC39A6" w:rsidRDefault="00F53363">
      <w:pPr>
        <w:pStyle w:val="ListParagraph"/>
        <w:numPr>
          <w:ilvl w:val="0"/>
          <w:numId w:val="4"/>
        </w:numPr>
      </w:pPr>
      <w:r>
        <w:rPr>
          <w:b/>
        </w:rPr>
        <w:lastRenderedPageBreak/>
        <w:t>Solve time</w:t>
      </w:r>
      <w:r>
        <w:t xml:space="preserve"> per decision, and </w:t>
      </w:r>
      <w:r>
        <w:rPr>
          <w:b/>
        </w:rPr>
        <w:t>forecast error</w:t>
      </w:r>
      <w:r>
        <w:t xml:space="preserve"> (mean absolute percentage error) per zone and lead time.</w:t>
      </w:r>
    </w:p>
    <w:p w14:paraId="49744B40" w14:textId="77777777" w:rsidR="00CC39A6" w:rsidRDefault="00F53363">
      <w:r>
        <w:t>Packet loss and per-packet delay percentiles are not reported, because a flow-level model cannot estimate them credibly.</w:t>
      </w:r>
    </w:p>
    <w:p w14:paraId="0D77A082" w14:textId="77777777" w:rsidR="00CC39A6" w:rsidRDefault="00F53363">
      <w:pPr>
        <w:pStyle w:val="Heading3"/>
      </w:pPr>
      <w:r>
        <w:t>5.7 Statistical Analysis</w:t>
      </w:r>
    </w:p>
    <w:p w14:paraId="41554EED" w14:textId="77777777" w:rsidR="00CC39A6" w:rsidRDefault="00F53363">
      <w:r>
        <w:t>Consecutive slots are strongly autocorrelated, so the day is the unit of analysis. For each pair of methods, the per-day difference in a metric is computed on the same traffic and grid data. Confidence intervals for mean differences use the moving-block bootstrap [36] with a block length of [TBD] days. Hypothesis tests use the Wilcoxon signed-rank test on daily paired differences, with Holm's correction across the baselines compared with EcoRouteAI. Every comparison reports the effect size (median paired di</w:t>
      </w:r>
      <w:r>
        <w:t>fference and saving retained), its interval and the number of days, not only a p-value. Grid years are treated as replicates, and results are reported both per year and pooled.</w:t>
      </w:r>
    </w:p>
    <w:p w14:paraId="00C1C0AE" w14:textId="77777777" w:rsidR="00CC39A6" w:rsidRDefault="00F53363">
      <w:pPr>
        <w:pStyle w:val="Heading3"/>
      </w:pPr>
      <w:r>
        <w:t>5.8 Pre-Registered Decision Criteria</w:t>
      </w:r>
    </w:p>
    <w:p w14:paraId="240979E0" w14:textId="77777777" w:rsidR="00CC39A6" w:rsidRDefault="00F53363">
      <w:r>
        <w:t>To prevent the scope of the paper from being chosen after the results are known, two criteria are fixed before the test period is examined.</w:t>
      </w:r>
    </w:p>
    <w:p w14:paraId="1A9555BA" w14:textId="77777777" w:rsidR="00CC39A6" w:rsidRDefault="00F53363">
      <w:pPr>
        <w:pStyle w:val="ListParagraph"/>
        <w:numPr>
          <w:ilvl w:val="0"/>
          <w:numId w:val="5"/>
        </w:numPr>
      </w:pPr>
      <w:r>
        <w:rPr>
          <w:b/>
        </w:rPr>
        <w:t>E1 → scope.</w:t>
      </w:r>
      <w:r>
        <w:t xml:space="preserve"> Let R be the median daily saving of (P1) relative to delay shortest path at ρ = 0.5 on the GÉANT test period. If R ≥ 2% and the lower bound of its bootstrap interval is above zero, the paper proceeds with routing-only EcoRouteAI. Otherwise the sleeping extension of Section 4.6 is activated and reported as the main method, and routing-only results are reported as a negative finding.</w:t>
      </w:r>
    </w:p>
    <w:p w14:paraId="6E068D42" w14:textId="77777777" w:rsidR="00CC39A6" w:rsidRDefault="00F53363">
      <w:pPr>
        <w:pStyle w:val="ListParagraph"/>
        <w:numPr>
          <w:ilvl w:val="0"/>
          <w:numId w:val="5"/>
        </w:numPr>
      </w:pPr>
      <w:r>
        <w:rPr>
          <w:b/>
        </w:rPr>
        <w:t>E2 → claim.</w:t>
      </w:r>
      <w:r>
        <w:t xml:space="preserve"> EcoRouteAI is described as improving on myopic routing only if it retains at least [TBD]% of the (P1-λ) saving while reducing churn relative to (P2) by at least [TBD]%, with both differences significant under Section 5.7.</w:t>
      </w:r>
    </w:p>
    <w:p w14:paraId="0C660684" w14:textId="77777777" w:rsidR="00CC39A6" w:rsidRDefault="00F53363">
      <w:pPr>
        <w:pStyle w:val="Heading3"/>
      </w:pPr>
      <w:r>
        <w:t>5.9 Software and Reproducibility</w:t>
      </w:r>
    </w:p>
    <w:p w14:paraId="4114B69E" w14:textId="77777777" w:rsidR="00CC39A6" w:rsidRDefault="00F53363">
      <w:r>
        <w:t>Linear programs are solved with the HiGHS solver; solver version, language version, hardware and time limits are [TBD from the implementation]. The code, the node-to-zone table, the device profiles, the capacity rule and scripts that download the raw data from their original sources will be released; third-party data are not redistributed. The LP problems are deterministic, so variability is reported across grid years and days rather than random seeds. Section 6 reports the results of these experiments in t</w:t>
      </w:r>
      <w:r>
        <w:t>he order E1 to E4.</w:t>
      </w:r>
    </w:p>
    <w:p w14:paraId="52AE9BDF" w14:textId="77777777" w:rsidR="00CC39A6" w:rsidRDefault="00F53363">
      <w:pPr>
        <w:pStyle w:val="Heading3"/>
      </w:pPr>
      <w:r>
        <w:t>5.10 Deviations of the Preliminary Run from This Protocol (author note)</w:t>
      </w:r>
    </w:p>
    <w:p w14:paraId="0F9E9700" w14:textId="77777777" w:rsidR="00CC39A6" w:rsidRDefault="00F53363">
      <w:r>
        <w:t>The results in Section 6 come from a first run that departed from the protocol above. Each deviation below must be removed, or reported in the final paper, before submission.</w:t>
      </w:r>
    </w:p>
    <w:p w14:paraId="52139E6F" w14:textId="77777777" w:rsidR="00CC39A6" w:rsidRDefault="00F53363">
      <w:r>
        <w:rPr>
          <w:b/>
        </w:rPr>
        <w:t>Table 6.</w:t>
      </w:r>
      <w:r>
        <w:t xml:space="preserve"> Deviations and required reruns.</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CC39A6" w14:paraId="3924F310" w14:textId="77777777">
        <w:trPr>
          <w:tblHeader/>
        </w:trPr>
        <w:tc>
          <w:tcPr>
            <w:tcW w:w="1872" w:type="dxa"/>
            <w:shd w:val="clear" w:color="auto" w:fill="F2F2F2"/>
          </w:tcPr>
          <w:p w14:paraId="55B1F472" w14:textId="77777777" w:rsidR="00CC39A6" w:rsidRDefault="00F53363">
            <w:r>
              <w:t>Element</w:t>
            </w:r>
          </w:p>
        </w:tc>
        <w:tc>
          <w:tcPr>
            <w:tcW w:w="1872" w:type="dxa"/>
            <w:shd w:val="clear" w:color="auto" w:fill="F2F2F2"/>
          </w:tcPr>
          <w:p w14:paraId="26FB9760" w14:textId="77777777" w:rsidR="00CC39A6" w:rsidRDefault="00F53363">
            <w:r>
              <w:t>Protocol</w:t>
            </w:r>
          </w:p>
        </w:tc>
        <w:tc>
          <w:tcPr>
            <w:tcW w:w="1872" w:type="dxa"/>
            <w:shd w:val="clear" w:color="auto" w:fill="F2F2F2"/>
          </w:tcPr>
          <w:p w14:paraId="1CEB0F2D" w14:textId="77777777" w:rsidR="00CC39A6" w:rsidRDefault="00F53363">
            <w:r>
              <w:t>Preliminary run</w:t>
            </w:r>
          </w:p>
        </w:tc>
        <w:tc>
          <w:tcPr>
            <w:tcW w:w="1872" w:type="dxa"/>
            <w:shd w:val="clear" w:color="auto" w:fill="F2F2F2"/>
          </w:tcPr>
          <w:p w14:paraId="00B1E7E6" w14:textId="77777777" w:rsidR="00CC39A6" w:rsidRDefault="00F53363">
            <w:r>
              <w:t>Consequence</w:t>
            </w:r>
          </w:p>
        </w:tc>
        <w:tc>
          <w:tcPr>
            <w:tcW w:w="1872" w:type="dxa"/>
            <w:shd w:val="clear" w:color="auto" w:fill="F2F2F2"/>
          </w:tcPr>
          <w:p w14:paraId="441A1F06" w14:textId="77777777" w:rsidR="00CC39A6" w:rsidRDefault="00F53363">
            <w:r>
              <w:t>Rerun</w:t>
            </w:r>
          </w:p>
        </w:tc>
      </w:tr>
      <w:tr w:rsidR="00CC39A6" w14:paraId="3D577FAC" w14:textId="77777777">
        <w:tc>
          <w:tcPr>
            <w:tcW w:w="1872" w:type="dxa"/>
          </w:tcPr>
          <w:p w14:paraId="598D6F7F" w14:textId="77777777" w:rsidR="00CC39A6" w:rsidRDefault="00F53363">
            <w:r>
              <w:t>E1 network</w:t>
            </w:r>
          </w:p>
        </w:tc>
        <w:tc>
          <w:tcPr>
            <w:tcW w:w="1872" w:type="dxa"/>
          </w:tcPr>
          <w:p w14:paraId="21FB4E4E" w14:textId="77777777" w:rsidR="00CC39A6" w:rsidRDefault="00F53363">
            <w:r>
              <w:t xml:space="preserve">GÉANT, 22 nodes, 462 demands, test </w:t>
            </w:r>
            <w:r>
              <w:lastRenderedPageBreak/>
              <w:t>period of ~6.5 weeks</w:t>
            </w:r>
          </w:p>
        </w:tc>
        <w:tc>
          <w:tcPr>
            <w:tcW w:w="1872" w:type="dxa"/>
          </w:tcPr>
          <w:p w14:paraId="40F7C0C8" w14:textId="77777777" w:rsidR="00CC39A6" w:rsidRDefault="00F53363">
            <w:r>
              <w:lastRenderedPageBreak/>
              <w:t xml:space="preserve">Proxy "GÉANT-class" network, 6 </w:t>
            </w:r>
            <w:r>
              <w:lastRenderedPageBreak/>
              <w:t>nodes, 18 links, 10 demands, 96 slots (one day)</w:t>
            </w:r>
          </w:p>
        </w:tc>
        <w:tc>
          <w:tcPr>
            <w:tcW w:w="1872" w:type="dxa"/>
          </w:tcPr>
          <w:p w14:paraId="7BAB8634" w14:textId="77777777" w:rsidR="00CC39A6" w:rsidRDefault="00F53363">
            <w:r>
              <w:lastRenderedPageBreak/>
              <w:t xml:space="preserve">Not GÉANT; mean maximum link </w:t>
            </w:r>
            <w:r>
              <w:lastRenderedPageBreak/>
              <w:t>utilisation ≈ 4%, far below backbone levels, which shrinks the routing-dependent power share (Section 7.1)</w:t>
            </w:r>
          </w:p>
        </w:tc>
        <w:tc>
          <w:tcPr>
            <w:tcW w:w="1872" w:type="dxa"/>
          </w:tcPr>
          <w:p w14:paraId="7E487904" w14:textId="77777777" w:rsidR="00CC39A6" w:rsidRDefault="00F53363">
            <w:r>
              <w:lastRenderedPageBreak/>
              <w:t>Yes</w:t>
            </w:r>
          </w:p>
        </w:tc>
      </w:tr>
      <w:tr w:rsidR="00CC39A6" w14:paraId="6AC09AAA" w14:textId="77777777">
        <w:tc>
          <w:tcPr>
            <w:tcW w:w="1872" w:type="dxa"/>
          </w:tcPr>
          <w:p w14:paraId="60C9AEA4" w14:textId="77777777" w:rsidR="00CC39A6" w:rsidRDefault="00F53363">
            <w:r>
              <w:t>E1 reference and gate</w:t>
            </w:r>
          </w:p>
        </w:tc>
        <w:tc>
          <w:tcPr>
            <w:tcW w:w="1872" w:type="dxa"/>
          </w:tcPr>
          <w:p w14:paraId="343DBC85" w14:textId="77777777" w:rsidR="00CC39A6" w:rsidRDefault="00F53363">
            <w:r>
              <w:t>Saving vs delay shortest path at ρ = 0.5 (Section 5.8)</w:t>
            </w:r>
          </w:p>
        </w:tc>
        <w:tc>
          <w:tcPr>
            <w:tcW w:w="1872" w:type="dxa"/>
          </w:tcPr>
          <w:p w14:paraId="3F760638" w14:textId="77777777" w:rsidR="00CC39A6" w:rsidRDefault="00F53363">
            <w:r>
              <w:t>Saving vs shortest-hop; gate "≥ 2% in at least one scenario", passed only at ρ = 0</w:t>
            </w:r>
          </w:p>
        </w:tc>
        <w:tc>
          <w:tcPr>
            <w:tcW w:w="1872" w:type="dxa"/>
          </w:tcPr>
          <w:p w14:paraId="2DD96C42" w14:textId="77777777" w:rsidR="00CC39A6" w:rsidRDefault="00F53363">
            <w:r>
              <w:t xml:space="preserve">By the pre-registered criterion, E1 </w:t>
            </w:r>
            <w:r>
              <w:rPr>
                <w:b/>
              </w:rPr>
              <w:t>fails</w:t>
            </w:r>
            <w:r>
              <w:t xml:space="preserve"> (0.13% &lt; 2% at ρ = 0.5)</w:t>
            </w:r>
          </w:p>
        </w:tc>
        <w:tc>
          <w:tcPr>
            <w:tcW w:w="1872" w:type="dxa"/>
          </w:tcPr>
          <w:p w14:paraId="091AF89F" w14:textId="77777777" w:rsidR="00CC39A6" w:rsidRDefault="00F53363">
            <w:r>
              <w:t>Recompute against the protocol reference</w:t>
            </w:r>
          </w:p>
        </w:tc>
      </w:tr>
      <w:tr w:rsidR="00CC39A6" w14:paraId="1CC35BDC" w14:textId="77777777">
        <w:tc>
          <w:tcPr>
            <w:tcW w:w="1872" w:type="dxa"/>
          </w:tcPr>
          <w:p w14:paraId="79FA60B8" w14:textId="77777777" w:rsidR="00CC39A6" w:rsidRDefault="00F53363">
            <w:r>
              <w:t>E2 data</w:t>
            </w:r>
          </w:p>
        </w:tc>
        <w:tc>
          <w:tcPr>
            <w:tcW w:w="1872" w:type="dxa"/>
          </w:tcPr>
          <w:p w14:paraId="155D6171" w14:textId="77777777" w:rsidR="00CC39A6" w:rsidRDefault="00F53363">
            <w:r>
              <w:t>Full Abilene period at 5 min, parameters frozen from GÉANT</w:t>
            </w:r>
          </w:p>
        </w:tc>
        <w:tc>
          <w:tcPr>
            <w:tcW w:w="1872" w:type="dxa"/>
          </w:tcPr>
          <w:p w14:paraId="3A6FE36C" w14:textId="77777777" w:rsidR="00CC39A6" w:rsidRDefault="00F53363">
            <w:r>
              <w:t>24 hourly Abilene matrices (one day), 11 nodes, 110 demands</w:t>
            </w:r>
          </w:p>
        </w:tc>
        <w:tc>
          <w:tcPr>
            <w:tcW w:w="1872" w:type="dxa"/>
          </w:tcPr>
          <w:p w14:paraId="717488FD" w14:textId="77777777" w:rsidR="00CC39A6" w:rsidRDefault="00F53363">
            <w:r>
              <w:t>One day cannot support day-level statistics</w:t>
            </w:r>
          </w:p>
        </w:tc>
        <w:tc>
          <w:tcPr>
            <w:tcW w:w="1872" w:type="dxa"/>
          </w:tcPr>
          <w:p w14:paraId="1EB83B30" w14:textId="77777777" w:rsidR="00CC39A6" w:rsidRDefault="00F53363">
            <w:r>
              <w:t>Yes</w:t>
            </w:r>
          </w:p>
        </w:tc>
      </w:tr>
      <w:tr w:rsidR="00CC39A6" w14:paraId="12CD9E20" w14:textId="77777777">
        <w:tc>
          <w:tcPr>
            <w:tcW w:w="1872" w:type="dxa"/>
          </w:tcPr>
          <w:p w14:paraId="0DA7BBF9" w14:textId="77777777" w:rsidR="00CC39A6" w:rsidRDefault="00F53363">
            <w:r>
              <w:t>E2 settings</w:t>
            </w:r>
          </w:p>
        </w:tc>
        <w:tc>
          <w:tcPr>
            <w:tcW w:w="1872" w:type="dxa"/>
          </w:tcPr>
          <w:p w14:paraId="76E30A02" w14:textId="77777777" w:rsidR="00CC39A6" w:rsidRDefault="00F53363">
            <w:r>
              <w:t>ρ and grid data stated</w:t>
            </w:r>
          </w:p>
        </w:tc>
        <w:tc>
          <w:tcPr>
            <w:tcW w:w="1872" w:type="dxa"/>
          </w:tcPr>
          <w:p w14:paraId="7F03E4A9" w14:textId="77777777" w:rsidR="00CC39A6" w:rsidRDefault="00F53363">
            <w:r>
              <w:t>ρ, carbon-intensity source and pairing protocol not reported</w:t>
            </w:r>
          </w:p>
        </w:tc>
        <w:tc>
          <w:tcPr>
            <w:tcW w:w="1872" w:type="dxa"/>
          </w:tcPr>
          <w:p w14:paraId="53682400" w14:textId="77777777" w:rsidR="00CC39A6" w:rsidRDefault="00F53363">
            <w:r>
              <w:t>Results cannot be interpreted against Section 6.1</w:t>
            </w:r>
          </w:p>
        </w:tc>
        <w:tc>
          <w:tcPr>
            <w:tcW w:w="1872" w:type="dxa"/>
          </w:tcPr>
          <w:p w14:paraId="5D39F089" w14:textId="77777777" w:rsidR="00CC39A6" w:rsidRDefault="00F53363">
            <w:r>
              <w:t>Report</w:t>
            </w:r>
          </w:p>
        </w:tc>
      </w:tr>
      <w:tr w:rsidR="00CC39A6" w14:paraId="3710C42A" w14:textId="77777777">
        <w:tc>
          <w:tcPr>
            <w:tcW w:w="1872" w:type="dxa"/>
          </w:tcPr>
          <w:p w14:paraId="7537E9BE" w14:textId="77777777" w:rsidR="00CC39A6" w:rsidRDefault="00F53363">
            <w:r>
              <w:t>E2 methods</w:t>
            </w:r>
          </w:p>
        </w:tc>
        <w:tc>
          <w:tcPr>
            <w:tcW w:w="1872" w:type="dxa"/>
          </w:tcPr>
          <w:p w14:paraId="7D0F2018" w14:textId="77777777" w:rsidR="00CC39A6" w:rsidRDefault="00F53363">
            <w:r>
              <w:t>Includes EcoRouteAI (P3 + commit rule), λ &gt; 0, point-rule variant; persistence and seasonal-naive forecasts</w:t>
            </w:r>
          </w:p>
        </w:tc>
        <w:tc>
          <w:tcPr>
            <w:tcW w:w="1872" w:type="dxa"/>
          </w:tcPr>
          <w:p w14:paraId="484F4582" w14:textId="77777777" w:rsidR="00CC39A6" w:rsidRDefault="00F53363">
            <w:r>
              <w:t>Shortest-hop, latency-aware, reactive, AR(4), exponential smoothing, perfect foresight, perfect foresight + Gaussian noise (σ = 5–30%)</w:t>
            </w:r>
          </w:p>
        </w:tc>
        <w:tc>
          <w:tcPr>
            <w:tcW w:w="1872" w:type="dxa"/>
          </w:tcPr>
          <w:p w14:paraId="242A71C2" w14:textId="77777777" w:rsidR="00CC39A6" w:rsidRDefault="00F53363">
            <w:r>
              <w:rPr>
                <w:b/>
              </w:rPr>
              <w:t>The proposed method was not evaluated</w:t>
            </w:r>
          </w:p>
        </w:tc>
        <w:tc>
          <w:tcPr>
            <w:tcW w:w="1872" w:type="dxa"/>
          </w:tcPr>
          <w:p w14:paraId="0B5AD7AD" w14:textId="77777777" w:rsidR="00CC39A6" w:rsidRDefault="00F53363">
            <w:r>
              <w:t>Yes</w:t>
            </w:r>
          </w:p>
        </w:tc>
      </w:tr>
      <w:tr w:rsidR="00CC39A6" w14:paraId="56585593" w14:textId="77777777">
        <w:tc>
          <w:tcPr>
            <w:tcW w:w="1872" w:type="dxa"/>
          </w:tcPr>
          <w:p w14:paraId="19426191" w14:textId="77777777" w:rsidR="00CC39A6" w:rsidRDefault="00F53363">
            <w:r>
              <w:t>E2 statistics</w:t>
            </w:r>
          </w:p>
        </w:tc>
        <w:tc>
          <w:tcPr>
            <w:tcW w:w="1872" w:type="dxa"/>
          </w:tcPr>
          <w:p w14:paraId="22A5B724" w14:textId="77777777" w:rsidR="00CC39A6" w:rsidRDefault="00F53363">
            <w:r>
              <w:t>Day as unit; moving-block bootstrap; Wilcoxon with Holm correction</w:t>
            </w:r>
          </w:p>
        </w:tc>
        <w:tc>
          <w:tcPr>
            <w:tcW w:w="1872" w:type="dxa"/>
          </w:tcPr>
          <w:p w14:paraId="4A6FB426" w14:textId="77777777" w:rsidR="00CC39A6" w:rsidRDefault="00F53363">
            <w:r>
              <w:t xml:space="preserve">Hourly samples (n = 24); i.i.d. bootstrap (1,000 resamples); paired t-test and Wilcoxon; no multiplicity </w:t>
            </w:r>
            <w:r>
              <w:lastRenderedPageBreak/>
              <w:t>correction</w:t>
            </w:r>
          </w:p>
        </w:tc>
        <w:tc>
          <w:tcPr>
            <w:tcW w:w="1872" w:type="dxa"/>
          </w:tcPr>
          <w:p w14:paraId="3A5EE800" w14:textId="77777777" w:rsidR="00CC39A6" w:rsidRDefault="00F53363">
            <w:r>
              <w:lastRenderedPageBreak/>
              <w:t>Intervals likely too narrow because hours are autocorrelated</w:t>
            </w:r>
          </w:p>
        </w:tc>
        <w:tc>
          <w:tcPr>
            <w:tcW w:w="1872" w:type="dxa"/>
          </w:tcPr>
          <w:p w14:paraId="65F72BCD" w14:textId="77777777" w:rsidR="00CC39A6" w:rsidRDefault="00F53363">
            <w:r>
              <w:t>Recompute</w:t>
            </w:r>
          </w:p>
        </w:tc>
      </w:tr>
      <w:tr w:rsidR="00CC39A6" w14:paraId="544C23F7" w14:textId="77777777">
        <w:tc>
          <w:tcPr>
            <w:tcW w:w="1872" w:type="dxa"/>
          </w:tcPr>
          <w:p w14:paraId="15D7DD25" w14:textId="77777777" w:rsidR="00CC39A6" w:rsidRDefault="00F53363">
            <w:r>
              <w:t>Baseline churn</w:t>
            </w:r>
          </w:p>
        </w:tc>
        <w:tc>
          <w:tcPr>
            <w:tcW w:w="1872" w:type="dxa"/>
          </w:tcPr>
          <w:p w14:paraId="154B87C5" w14:textId="77777777" w:rsidR="00CC39A6" w:rsidRDefault="00F53363">
            <w:r>
              <w:t>Static routing has zero churn by definition</w:t>
            </w:r>
          </w:p>
        </w:tc>
        <w:tc>
          <w:tcPr>
            <w:tcW w:w="1872" w:type="dxa"/>
          </w:tcPr>
          <w:p w14:paraId="0DA4544E" w14:textId="77777777" w:rsidR="00CC39A6" w:rsidRDefault="00F53363">
            <w:r>
              <w:t>Shortest-hop reports 6.59% churn</w:t>
            </w:r>
          </w:p>
        </w:tc>
        <w:tc>
          <w:tcPr>
            <w:tcW w:w="1872" w:type="dxa"/>
          </w:tcPr>
          <w:p w14:paraId="7442EF9A" w14:textId="77777777" w:rsidR="00CC39A6" w:rsidRDefault="00F53363">
            <w:r>
              <w:t>Definition of churn or of the baseline must be checked</w:t>
            </w:r>
          </w:p>
        </w:tc>
        <w:tc>
          <w:tcPr>
            <w:tcW w:w="1872" w:type="dxa"/>
          </w:tcPr>
          <w:p w14:paraId="46EEDAC9" w14:textId="77777777" w:rsidR="00CC39A6" w:rsidRDefault="00F53363">
            <w:r>
              <w:t>Explain or fix</w:t>
            </w:r>
          </w:p>
        </w:tc>
      </w:tr>
      <w:tr w:rsidR="00CC39A6" w14:paraId="22EFC965" w14:textId="77777777">
        <w:tc>
          <w:tcPr>
            <w:tcW w:w="1872" w:type="dxa"/>
          </w:tcPr>
          <w:p w14:paraId="080C977F" w14:textId="77777777" w:rsidR="00CC39A6" w:rsidRDefault="00F53363">
            <w:r>
              <w:t>E3 sleeping</w:t>
            </w:r>
          </w:p>
        </w:tc>
        <w:tc>
          <w:tcPr>
            <w:tcW w:w="1872" w:type="dxa"/>
          </w:tcPr>
          <w:p w14:paraId="661C91AA" w14:textId="77777777" w:rsidR="00CC39A6" w:rsidRDefault="00F53363">
            <w:r>
              <w:t>MILP minimising modeled emissions (3) with sleeping (Section 4.6)</w:t>
            </w:r>
          </w:p>
        </w:tc>
        <w:tc>
          <w:tcPr>
            <w:tcW w:w="1872" w:type="dxa"/>
          </w:tcPr>
          <w:p w14:paraId="710D1F3D" w14:textId="77777777" w:rsidR="00CC39A6" w:rsidRDefault="00F53363">
            <w:r>
              <w:t>Consolidation heuristic with EEE-style 15% residual link power</w:t>
            </w:r>
          </w:p>
        </w:tc>
        <w:tc>
          <w:tcPr>
            <w:tcW w:w="1872" w:type="dxa"/>
          </w:tcPr>
          <w:p w14:paraId="1F746A5D" w14:textId="77777777" w:rsidR="00CC39A6" w:rsidRDefault="00F53363">
            <w:r>
              <w:t xml:space="preserve">Heuristic produced </w:t>
            </w:r>
            <w:r>
              <w:rPr>
                <w:i/>
              </w:rPr>
              <w:t>higher</w:t>
            </w:r>
            <w:r>
              <w:t xml:space="preserve"> emissions than the baseline it could keep (−17.18% at ρ = 0), so it does not minimise the evaluated metric</w:t>
            </w:r>
          </w:p>
        </w:tc>
        <w:tc>
          <w:tcPr>
            <w:tcW w:w="1872" w:type="dxa"/>
          </w:tcPr>
          <w:p w14:paraId="5021275C" w14:textId="77777777" w:rsidR="00CC39A6" w:rsidRDefault="00F53363">
            <w:r>
              <w:t>Yes, with an exact formulation</w:t>
            </w:r>
          </w:p>
        </w:tc>
      </w:tr>
      <w:tr w:rsidR="00CC39A6" w14:paraId="3CD14B0C" w14:textId="77777777">
        <w:tc>
          <w:tcPr>
            <w:tcW w:w="1872" w:type="dxa"/>
          </w:tcPr>
          <w:p w14:paraId="640DDA6A" w14:textId="77777777" w:rsidR="00CC39A6" w:rsidRDefault="00F53363">
            <w:r>
              <w:t>E3 setups</w:t>
            </w:r>
          </w:p>
        </w:tc>
        <w:tc>
          <w:tcPr>
            <w:tcW w:w="1872" w:type="dxa"/>
          </w:tcPr>
          <w:p w14:paraId="02811397" w14:textId="77777777" w:rsidR="00CC39A6" w:rsidRDefault="00F53363">
            <w:r>
              <w:t>Stated network and demand per dimension</w:t>
            </w:r>
          </w:p>
        </w:tc>
        <w:tc>
          <w:tcPr>
            <w:tcW w:w="1872" w:type="dxa"/>
          </w:tcPr>
          <w:p w14:paraId="2CD93DBB" w14:textId="77777777" w:rsidR="00CC39A6" w:rsidRDefault="00F53363">
            <w:r>
              <w:t>Baseline emissions differ across Dimensions A, B, C (1,357.81; 249.30; 236.92 gCO₂) without stated setups</w:t>
            </w:r>
          </w:p>
        </w:tc>
        <w:tc>
          <w:tcPr>
            <w:tcW w:w="1872" w:type="dxa"/>
          </w:tcPr>
          <w:p w14:paraId="2521F96B" w14:textId="77777777" w:rsidR="00CC39A6" w:rsidRDefault="00F53363">
            <w:r>
              <w:t>Dimensions are not comparable with each other or with E1</w:t>
            </w:r>
          </w:p>
        </w:tc>
        <w:tc>
          <w:tcPr>
            <w:tcW w:w="1872" w:type="dxa"/>
          </w:tcPr>
          <w:p w14:paraId="236A371E" w14:textId="77777777" w:rsidR="00CC39A6" w:rsidRDefault="00F53363">
            <w:r>
              <w:t>Report</w:t>
            </w:r>
          </w:p>
        </w:tc>
      </w:tr>
      <w:tr w:rsidR="00CC39A6" w14:paraId="081A93A9" w14:textId="77777777">
        <w:tc>
          <w:tcPr>
            <w:tcW w:w="1872" w:type="dxa"/>
          </w:tcPr>
          <w:p w14:paraId="4438DA55" w14:textId="77777777" w:rsidR="00CC39A6" w:rsidRDefault="00F53363">
            <w:r>
              <w:t>Optimality</w:t>
            </w:r>
          </w:p>
        </w:tc>
        <w:tc>
          <w:tcPr>
            <w:tcW w:w="1872" w:type="dxa"/>
          </w:tcPr>
          <w:p w14:paraId="541CD9F3" w14:textId="77777777" w:rsidR="00CC39A6" w:rsidRDefault="00F53363">
            <w:r>
              <w:t>(P1) can never exceed the emissions of a feasible baseline</w:t>
            </w:r>
          </w:p>
        </w:tc>
        <w:tc>
          <w:tcPr>
            <w:tcW w:w="1872" w:type="dxa"/>
          </w:tcPr>
          <w:p w14:paraId="71E22EC5" w14:textId="77777777" w:rsidR="00CC39A6" w:rsidRDefault="00F53363">
            <w:r>
              <w:t xml:space="preserve">E3-A "no sleep" at ρ = 0 is 0.003% </w:t>
            </w:r>
            <w:r>
              <w:rPr>
                <w:i/>
              </w:rPr>
              <w:t>worse</w:t>
            </w:r>
            <w:r>
              <w:t xml:space="preserve"> than baseline</w:t>
            </w:r>
          </w:p>
        </w:tc>
        <w:tc>
          <w:tcPr>
            <w:tcW w:w="1872" w:type="dxa"/>
          </w:tcPr>
          <w:p w14:paraId="0D292033" w14:textId="77777777" w:rsidR="00CC39A6" w:rsidRDefault="00F53363">
            <w:r>
              <w:t>Objective and evaluation metric may differ, or solver tolerance</w:t>
            </w:r>
          </w:p>
        </w:tc>
        <w:tc>
          <w:tcPr>
            <w:tcW w:w="1872" w:type="dxa"/>
          </w:tcPr>
          <w:p w14:paraId="7DC4F5E7" w14:textId="77777777" w:rsidR="00CC39A6" w:rsidRDefault="00F53363">
            <w:r>
              <w:t>Check</w:t>
            </w:r>
          </w:p>
        </w:tc>
      </w:tr>
    </w:tbl>
    <w:p w14:paraId="7E9F6DDE" w14:textId="77777777" w:rsidR="00CC39A6" w:rsidRDefault="00F53363">
      <w:pPr>
        <w:pStyle w:val="Heading2"/>
      </w:pPr>
      <w:r>
        <w:t>6 Results</w:t>
      </w:r>
    </w:p>
    <w:p w14:paraId="4546D5AF" w14:textId="77777777" w:rsidR="00CC39A6" w:rsidRDefault="00F53363">
      <w:r>
        <w:t>Section 5 specified the experiments; this section reports what the first run produced. Section 6.1 asks how much routing can save at all (E1), Section 6.2 whether forecasts help and what they cost in route changes (E2), Section 6.3 how the answer moves with idle share, latency slack and grid heterogeneity (E3), and Sections 6.4 and 6.5 cover ablation and computation time. All values are modeled and preliminary; the setups depart from Section 5 as listed in Table 6, and emissions are reported in gCO₂ as prod</w:t>
      </w:r>
      <w:r>
        <w:t>uced by the run.</w:t>
      </w:r>
    </w:p>
    <w:p w14:paraId="4980741D" w14:textId="77777777" w:rsidR="00CC39A6" w:rsidRDefault="00F53363">
      <w:pPr>
        <w:pStyle w:val="Heading3"/>
      </w:pPr>
      <w:r>
        <w:t>6.1 How Much Can Routing Save? (E1)</w:t>
      </w:r>
    </w:p>
    <w:p w14:paraId="5FF358B2" w14:textId="77777777" w:rsidR="00CC39A6" w:rsidRDefault="00F53363">
      <w:r>
        <w:t>Routing alone saved little once idle power was included. Table 7 compares four policies over 96 slots of 15 minutes on a proxy network of 6 nodes and 18 links carrying 10 demands per slot.</w:t>
      </w:r>
    </w:p>
    <w:p w14:paraId="159E8E8A" w14:textId="77777777" w:rsidR="00CC39A6" w:rsidRDefault="00F53363">
      <w:r>
        <w:rPr>
          <w:b/>
        </w:rPr>
        <w:lastRenderedPageBreak/>
        <w:t>Table 7.</w:t>
      </w:r>
      <w:r>
        <w:t xml:space="preserve"> E1 results by idle share θ (reduction relative to shortest-hop routing; positive = fewer emissions).</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CC39A6" w14:paraId="3835C1E7" w14:textId="77777777">
        <w:trPr>
          <w:tblHeader/>
        </w:trPr>
        <w:tc>
          <w:tcPr>
            <w:tcW w:w="1560" w:type="dxa"/>
            <w:shd w:val="clear" w:color="auto" w:fill="F2F2F2"/>
          </w:tcPr>
          <w:p w14:paraId="7ECF10DB" w14:textId="77777777" w:rsidR="00CC39A6" w:rsidRDefault="00F53363">
            <w:r>
              <w:t>θ</w:t>
            </w:r>
          </w:p>
        </w:tc>
        <w:tc>
          <w:tcPr>
            <w:tcW w:w="1560" w:type="dxa"/>
            <w:shd w:val="clear" w:color="auto" w:fill="F2F2F2"/>
          </w:tcPr>
          <w:p w14:paraId="68C6A1C2" w14:textId="77777777" w:rsidR="00CC39A6" w:rsidRDefault="00F53363">
            <w:r>
              <w:t>Policy</w:t>
            </w:r>
          </w:p>
        </w:tc>
        <w:tc>
          <w:tcPr>
            <w:tcW w:w="1560" w:type="dxa"/>
            <w:shd w:val="clear" w:color="auto" w:fill="F2F2F2"/>
          </w:tcPr>
          <w:p w14:paraId="27388797" w14:textId="77777777" w:rsidR="00CC39A6" w:rsidRDefault="00F53363">
            <w:r>
              <w:t>Emissions (gCO₂)</w:t>
            </w:r>
          </w:p>
        </w:tc>
        <w:tc>
          <w:tcPr>
            <w:tcW w:w="1560" w:type="dxa"/>
            <w:shd w:val="clear" w:color="auto" w:fill="F2F2F2"/>
          </w:tcPr>
          <w:p w14:paraId="3EB665DA" w14:textId="77777777" w:rsidR="00CC39A6" w:rsidRDefault="00F53363">
            <w:r>
              <w:t>Energy (kWh)</w:t>
            </w:r>
          </w:p>
        </w:tc>
        <w:tc>
          <w:tcPr>
            <w:tcW w:w="1560" w:type="dxa"/>
            <w:shd w:val="clear" w:color="auto" w:fill="F2F2F2"/>
          </w:tcPr>
          <w:p w14:paraId="766E264C" w14:textId="77777777" w:rsidR="00CC39A6" w:rsidRDefault="00F53363">
            <w:r>
              <w:t>Mean max. utilisation</w:t>
            </w:r>
          </w:p>
        </w:tc>
        <w:tc>
          <w:tcPr>
            <w:tcW w:w="1560" w:type="dxa"/>
            <w:shd w:val="clear" w:color="auto" w:fill="F2F2F2"/>
          </w:tcPr>
          <w:p w14:paraId="7AC02419" w14:textId="77777777" w:rsidR="00CC39A6" w:rsidRDefault="00F53363">
            <w:r>
              <w:t>Reduction</w:t>
            </w:r>
          </w:p>
        </w:tc>
      </w:tr>
      <w:tr w:rsidR="00CC39A6" w14:paraId="43D06C4D" w14:textId="77777777">
        <w:tc>
          <w:tcPr>
            <w:tcW w:w="1560" w:type="dxa"/>
          </w:tcPr>
          <w:p w14:paraId="015C8746" w14:textId="77777777" w:rsidR="00CC39A6" w:rsidRDefault="00F53363">
            <w:r>
              <w:t>0.0</w:t>
            </w:r>
          </w:p>
        </w:tc>
        <w:tc>
          <w:tcPr>
            <w:tcW w:w="1560" w:type="dxa"/>
          </w:tcPr>
          <w:p w14:paraId="55BE3F6D" w14:textId="77777777" w:rsidR="00CC39A6" w:rsidRDefault="00F53363">
            <w:r>
              <w:t>Shortest-hop</w:t>
            </w:r>
          </w:p>
        </w:tc>
        <w:tc>
          <w:tcPr>
            <w:tcW w:w="1560" w:type="dxa"/>
          </w:tcPr>
          <w:p w14:paraId="7E941EDF" w14:textId="77777777" w:rsidR="00CC39A6" w:rsidRDefault="00F53363">
            <w:r>
              <w:t>358.65</w:t>
            </w:r>
          </w:p>
        </w:tc>
        <w:tc>
          <w:tcPr>
            <w:tcW w:w="1560" w:type="dxa"/>
          </w:tcPr>
          <w:p w14:paraId="13715A5C" w14:textId="77777777" w:rsidR="00CC39A6" w:rsidRDefault="00F53363">
            <w:r>
              <w:t>1.8225</w:t>
            </w:r>
          </w:p>
        </w:tc>
        <w:tc>
          <w:tcPr>
            <w:tcW w:w="1560" w:type="dxa"/>
          </w:tcPr>
          <w:p w14:paraId="7EA42CF2" w14:textId="77777777" w:rsidR="00CC39A6" w:rsidRDefault="00F53363">
            <w:r>
              <w:t>4.22%</w:t>
            </w:r>
          </w:p>
        </w:tc>
        <w:tc>
          <w:tcPr>
            <w:tcW w:w="1560" w:type="dxa"/>
          </w:tcPr>
          <w:p w14:paraId="7B5D4296" w14:textId="77777777" w:rsidR="00CC39A6" w:rsidRDefault="00F53363">
            <w:r>
              <w:t>—</w:t>
            </w:r>
          </w:p>
        </w:tc>
      </w:tr>
      <w:tr w:rsidR="00CC39A6" w14:paraId="3D45C6C6" w14:textId="77777777">
        <w:tc>
          <w:tcPr>
            <w:tcW w:w="1560" w:type="dxa"/>
          </w:tcPr>
          <w:p w14:paraId="2DD7B0E6" w14:textId="77777777" w:rsidR="00CC39A6" w:rsidRDefault="00F53363">
            <w:r>
              <w:t>0.0</w:t>
            </w:r>
          </w:p>
        </w:tc>
        <w:tc>
          <w:tcPr>
            <w:tcW w:w="1560" w:type="dxa"/>
          </w:tcPr>
          <w:p w14:paraId="46AA22BF" w14:textId="77777777" w:rsidR="00CC39A6" w:rsidRDefault="00F53363">
            <w:r>
              <w:t>Latency-aware</w:t>
            </w:r>
          </w:p>
        </w:tc>
        <w:tc>
          <w:tcPr>
            <w:tcW w:w="1560" w:type="dxa"/>
          </w:tcPr>
          <w:p w14:paraId="0803E643" w14:textId="77777777" w:rsidR="00CC39A6" w:rsidRDefault="00F53363">
            <w:r>
              <w:t>351.46</w:t>
            </w:r>
          </w:p>
        </w:tc>
        <w:tc>
          <w:tcPr>
            <w:tcW w:w="1560" w:type="dxa"/>
          </w:tcPr>
          <w:p w14:paraId="18A548E5" w14:textId="77777777" w:rsidR="00CC39A6" w:rsidRDefault="00F53363">
            <w:r>
              <w:t>1.8225</w:t>
            </w:r>
          </w:p>
        </w:tc>
        <w:tc>
          <w:tcPr>
            <w:tcW w:w="1560" w:type="dxa"/>
          </w:tcPr>
          <w:p w14:paraId="17EA47A5" w14:textId="77777777" w:rsidR="00CC39A6" w:rsidRDefault="00F53363">
            <w:r>
              <w:t>3.15%</w:t>
            </w:r>
          </w:p>
        </w:tc>
        <w:tc>
          <w:tcPr>
            <w:tcW w:w="1560" w:type="dxa"/>
          </w:tcPr>
          <w:p w14:paraId="11CB3F3D" w14:textId="77777777" w:rsidR="00CC39A6" w:rsidRDefault="00F53363">
            <w:r>
              <w:t>2.00%</w:t>
            </w:r>
          </w:p>
        </w:tc>
      </w:tr>
      <w:tr w:rsidR="00CC39A6" w14:paraId="51AC3752" w14:textId="77777777">
        <w:tc>
          <w:tcPr>
            <w:tcW w:w="1560" w:type="dxa"/>
          </w:tcPr>
          <w:p w14:paraId="38E77BF0" w14:textId="77777777" w:rsidR="00CC39A6" w:rsidRDefault="00F53363">
            <w:r>
              <w:t>0.0</w:t>
            </w:r>
          </w:p>
        </w:tc>
        <w:tc>
          <w:tcPr>
            <w:tcW w:w="1560" w:type="dxa"/>
          </w:tcPr>
          <w:p w14:paraId="238A7025" w14:textId="77777777" w:rsidR="00CC39A6" w:rsidRDefault="00F53363">
            <w:r>
              <w:t>Min-max utilisation</w:t>
            </w:r>
          </w:p>
        </w:tc>
        <w:tc>
          <w:tcPr>
            <w:tcW w:w="1560" w:type="dxa"/>
          </w:tcPr>
          <w:p w14:paraId="10FCF9A3" w14:textId="77777777" w:rsidR="00CC39A6" w:rsidRDefault="00F53363">
            <w:r>
              <w:t>399.76</w:t>
            </w:r>
          </w:p>
        </w:tc>
        <w:tc>
          <w:tcPr>
            <w:tcW w:w="1560" w:type="dxa"/>
          </w:tcPr>
          <w:p w14:paraId="54018C8C" w14:textId="77777777" w:rsidR="00CC39A6" w:rsidRDefault="00F53363">
            <w:r>
              <w:t>2.0301</w:t>
            </w:r>
          </w:p>
        </w:tc>
        <w:tc>
          <w:tcPr>
            <w:tcW w:w="1560" w:type="dxa"/>
          </w:tcPr>
          <w:p w14:paraId="5A79C8C0" w14:textId="77777777" w:rsidR="00CC39A6" w:rsidRDefault="00F53363">
            <w:r>
              <w:t>2.11%</w:t>
            </w:r>
          </w:p>
        </w:tc>
        <w:tc>
          <w:tcPr>
            <w:tcW w:w="1560" w:type="dxa"/>
          </w:tcPr>
          <w:p w14:paraId="0D174B30" w14:textId="77777777" w:rsidR="00CC39A6" w:rsidRDefault="00F53363">
            <w:r>
              <w:t>−</w:t>
            </w:r>
            <w:r>
              <w:t>11.46%</w:t>
            </w:r>
          </w:p>
        </w:tc>
      </w:tr>
      <w:tr w:rsidR="00CC39A6" w14:paraId="0F4C98F7" w14:textId="77777777">
        <w:tc>
          <w:tcPr>
            <w:tcW w:w="1560" w:type="dxa"/>
          </w:tcPr>
          <w:p w14:paraId="56D3182F" w14:textId="77777777" w:rsidR="00CC39A6" w:rsidRDefault="00F53363">
            <w:r>
              <w:t>0.0</w:t>
            </w:r>
          </w:p>
        </w:tc>
        <w:tc>
          <w:tcPr>
            <w:tcW w:w="1560" w:type="dxa"/>
          </w:tcPr>
          <w:p w14:paraId="7B53A347" w14:textId="77777777" w:rsidR="00CC39A6" w:rsidRDefault="00F53363">
            <w:r>
              <w:t>Carbon-aware, perfect foresight</w:t>
            </w:r>
          </w:p>
        </w:tc>
        <w:tc>
          <w:tcPr>
            <w:tcW w:w="1560" w:type="dxa"/>
          </w:tcPr>
          <w:p w14:paraId="52ABE3B0" w14:textId="77777777" w:rsidR="00CC39A6" w:rsidRDefault="00F53363">
            <w:r>
              <w:t>347.24</w:t>
            </w:r>
          </w:p>
        </w:tc>
        <w:tc>
          <w:tcPr>
            <w:tcW w:w="1560" w:type="dxa"/>
          </w:tcPr>
          <w:p w14:paraId="274AAB62" w14:textId="77777777" w:rsidR="00CC39A6" w:rsidRDefault="00F53363">
            <w:r>
              <w:t>1.8456</w:t>
            </w:r>
          </w:p>
        </w:tc>
        <w:tc>
          <w:tcPr>
            <w:tcW w:w="1560" w:type="dxa"/>
          </w:tcPr>
          <w:p w14:paraId="769D9D46" w14:textId="77777777" w:rsidR="00CC39A6" w:rsidRDefault="00F53363">
            <w:r>
              <w:t>5.76%</w:t>
            </w:r>
          </w:p>
        </w:tc>
        <w:tc>
          <w:tcPr>
            <w:tcW w:w="1560" w:type="dxa"/>
          </w:tcPr>
          <w:p w14:paraId="17A77BFF" w14:textId="77777777" w:rsidR="00CC39A6" w:rsidRDefault="00F53363">
            <w:r>
              <w:t>3.18%</w:t>
            </w:r>
          </w:p>
        </w:tc>
      </w:tr>
      <w:tr w:rsidR="00CC39A6" w14:paraId="5F4BCE3C" w14:textId="77777777">
        <w:tc>
          <w:tcPr>
            <w:tcW w:w="1560" w:type="dxa"/>
          </w:tcPr>
          <w:p w14:paraId="0894FF78" w14:textId="77777777" w:rsidR="00CC39A6" w:rsidRDefault="00F53363">
            <w:r>
              <w:t>0.5</w:t>
            </w:r>
          </w:p>
        </w:tc>
        <w:tc>
          <w:tcPr>
            <w:tcW w:w="1560" w:type="dxa"/>
          </w:tcPr>
          <w:p w14:paraId="571959DC" w14:textId="77777777" w:rsidR="00CC39A6" w:rsidRDefault="00F53363">
            <w:r>
              <w:t>Shortest-hop</w:t>
            </w:r>
          </w:p>
        </w:tc>
        <w:tc>
          <w:tcPr>
            <w:tcW w:w="1560" w:type="dxa"/>
          </w:tcPr>
          <w:p w14:paraId="029940C4" w14:textId="77777777" w:rsidR="00CC39A6" w:rsidRDefault="00F53363">
            <w:r>
              <w:t>4,794.66</w:t>
            </w:r>
          </w:p>
        </w:tc>
        <w:tc>
          <w:tcPr>
            <w:tcW w:w="1560" w:type="dxa"/>
          </w:tcPr>
          <w:p w14:paraId="4C564BA3" w14:textId="77777777" w:rsidR="00CC39A6" w:rsidRDefault="00F53363">
            <w:r>
              <w:t>23.1794</w:t>
            </w:r>
          </w:p>
        </w:tc>
        <w:tc>
          <w:tcPr>
            <w:tcW w:w="1560" w:type="dxa"/>
          </w:tcPr>
          <w:p w14:paraId="25A07B0B" w14:textId="77777777" w:rsidR="00CC39A6" w:rsidRDefault="00F53363">
            <w:r>
              <w:t>4.22%</w:t>
            </w:r>
          </w:p>
        </w:tc>
        <w:tc>
          <w:tcPr>
            <w:tcW w:w="1560" w:type="dxa"/>
          </w:tcPr>
          <w:p w14:paraId="189D22C6" w14:textId="77777777" w:rsidR="00CC39A6" w:rsidRDefault="00F53363">
            <w:r>
              <w:t>—</w:t>
            </w:r>
          </w:p>
        </w:tc>
      </w:tr>
      <w:tr w:rsidR="00CC39A6" w14:paraId="6F041AED" w14:textId="77777777">
        <w:tc>
          <w:tcPr>
            <w:tcW w:w="1560" w:type="dxa"/>
          </w:tcPr>
          <w:p w14:paraId="7A33B87F" w14:textId="77777777" w:rsidR="00CC39A6" w:rsidRDefault="00F53363">
            <w:r>
              <w:t>0.5</w:t>
            </w:r>
          </w:p>
        </w:tc>
        <w:tc>
          <w:tcPr>
            <w:tcW w:w="1560" w:type="dxa"/>
          </w:tcPr>
          <w:p w14:paraId="2D39E523" w14:textId="77777777" w:rsidR="00CC39A6" w:rsidRDefault="00F53363">
            <w:r>
              <w:t>Latency-aware</w:t>
            </w:r>
          </w:p>
        </w:tc>
        <w:tc>
          <w:tcPr>
            <w:tcW w:w="1560" w:type="dxa"/>
          </w:tcPr>
          <w:p w14:paraId="21183314" w14:textId="77777777" w:rsidR="00CC39A6" w:rsidRDefault="00F53363">
            <w:r>
              <w:t>4,790.74</w:t>
            </w:r>
          </w:p>
        </w:tc>
        <w:tc>
          <w:tcPr>
            <w:tcW w:w="1560" w:type="dxa"/>
          </w:tcPr>
          <w:p w14:paraId="386C450E" w14:textId="77777777" w:rsidR="00CC39A6" w:rsidRDefault="00F53363">
            <w:r>
              <w:t>23.1794</w:t>
            </w:r>
          </w:p>
        </w:tc>
        <w:tc>
          <w:tcPr>
            <w:tcW w:w="1560" w:type="dxa"/>
          </w:tcPr>
          <w:p w14:paraId="2CA20C2B" w14:textId="77777777" w:rsidR="00CC39A6" w:rsidRDefault="00F53363">
            <w:r>
              <w:t>3.15%</w:t>
            </w:r>
          </w:p>
        </w:tc>
        <w:tc>
          <w:tcPr>
            <w:tcW w:w="1560" w:type="dxa"/>
          </w:tcPr>
          <w:p w14:paraId="5FB99E8B" w14:textId="77777777" w:rsidR="00CC39A6" w:rsidRDefault="00F53363">
            <w:r>
              <w:t>0.08%</w:t>
            </w:r>
          </w:p>
        </w:tc>
      </w:tr>
      <w:tr w:rsidR="00CC39A6" w14:paraId="06BC5983" w14:textId="77777777">
        <w:tc>
          <w:tcPr>
            <w:tcW w:w="1560" w:type="dxa"/>
          </w:tcPr>
          <w:p w14:paraId="0B89ED89" w14:textId="77777777" w:rsidR="00CC39A6" w:rsidRDefault="00F53363">
            <w:r>
              <w:t>0.5</w:t>
            </w:r>
          </w:p>
        </w:tc>
        <w:tc>
          <w:tcPr>
            <w:tcW w:w="1560" w:type="dxa"/>
          </w:tcPr>
          <w:p w14:paraId="456A68ED" w14:textId="77777777" w:rsidR="00CC39A6" w:rsidRDefault="00F53363">
            <w:r>
              <w:t>Min-max utilisation</w:t>
            </w:r>
          </w:p>
        </w:tc>
        <w:tc>
          <w:tcPr>
            <w:tcW w:w="1560" w:type="dxa"/>
          </w:tcPr>
          <w:p w14:paraId="1E4822DE" w14:textId="77777777" w:rsidR="00CC39A6" w:rsidRDefault="00F53363">
            <w:r>
              <w:t>4,816.82</w:t>
            </w:r>
          </w:p>
        </w:tc>
        <w:tc>
          <w:tcPr>
            <w:tcW w:w="1560" w:type="dxa"/>
          </w:tcPr>
          <w:p w14:paraId="506E5F29" w14:textId="77777777" w:rsidR="00CC39A6" w:rsidRDefault="00F53363">
            <w:r>
              <w:t>23.2920</w:t>
            </w:r>
          </w:p>
        </w:tc>
        <w:tc>
          <w:tcPr>
            <w:tcW w:w="1560" w:type="dxa"/>
          </w:tcPr>
          <w:p w14:paraId="354590CC" w14:textId="77777777" w:rsidR="00CC39A6" w:rsidRDefault="00F53363">
            <w:r>
              <w:t>2.11%</w:t>
            </w:r>
          </w:p>
        </w:tc>
        <w:tc>
          <w:tcPr>
            <w:tcW w:w="1560" w:type="dxa"/>
          </w:tcPr>
          <w:p w14:paraId="48D0A0F9" w14:textId="77777777" w:rsidR="00CC39A6" w:rsidRDefault="00F53363">
            <w:r>
              <w:t>−</w:t>
            </w:r>
            <w:r>
              <w:t>0.46%</w:t>
            </w:r>
          </w:p>
        </w:tc>
      </w:tr>
      <w:tr w:rsidR="00CC39A6" w14:paraId="3C88712C" w14:textId="77777777">
        <w:tc>
          <w:tcPr>
            <w:tcW w:w="1560" w:type="dxa"/>
          </w:tcPr>
          <w:p w14:paraId="02C29D08" w14:textId="77777777" w:rsidR="00CC39A6" w:rsidRDefault="00F53363">
            <w:r>
              <w:t>0.5</w:t>
            </w:r>
          </w:p>
        </w:tc>
        <w:tc>
          <w:tcPr>
            <w:tcW w:w="1560" w:type="dxa"/>
          </w:tcPr>
          <w:p w14:paraId="7F0EF659" w14:textId="77777777" w:rsidR="00CC39A6" w:rsidRDefault="00F53363">
            <w:r>
              <w:t>Carbon-aware, perfect foresight</w:t>
            </w:r>
          </w:p>
        </w:tc>
        <w:tc>
          <w:tcPr>
            <w:tcW w:w="1560" w:type="dxa"/>
          </w:tcPr>
          <w:p w14:paraId="7C0DA83F" w14:textId="77777777" w:rsidR="00CC39A6" w:rsidRDefault="00F53363">
            <w:r>
              <w:t>4,788.26</w:t>
            </w:r>
          </w:p>
        </w:tc>
        <w:tc>
          <w:tcPr>
            <w:tcW w:w="1560" w:type="dxa"/>
          </w:tcPr>
          <w:p w14:paraId="32FC69A8" w14:textId="77777777" w:rsidR="00CC39A6" w:rsidRDefault="00F53363">
            <w:r>
              <w:t>23.1910</w:t>
            </w:r>
          </w:p>
        </w:tc>
        <w:tc>
          <w:tcPr>
            <w:tcW w:w="1560" w:type="dxa"/>
          </w:tcPr>
          <w:p w14:paraId="186E13BF" w14:textId="77777777" w:rsidR="00CC39A6" w:rsidRDefault="00F53363">
            <w:r>
              <w:t>5.76%</w:t>
            </w:r>
          </w:p>
        </w:tc>
        <w:tc>
          <w:tcPr>
            <w:tcW w:w="1560" w:type="dxa"/>
          </w:tcPr>
          <w:p w14:paraId="51F84553" w14:textId="77777777" w:rsidR="00CC39A6" w:rsidRDefault="00F53363">
            <w:r>
              <w:t>0.13%</w:t>
            </w:r>
          </w:p>
        </w:tc>
      </w:tr>
      <w:tr w:rsidR="00CC39A6" w14:paraId="5C53F77B" w14:textId="77777777">
        <w:tc>
          <w:tcPr>
            <w:tcW w:w="1560" w:type="dxa"/>
          </w:tcPr>
          <w:p w14:paraId="596A6DAA" w14:textId="77777777" w:rsidR="00CC39A6" w:rsidRDefault="00F53363">
            <w:r>
              <w:t>0.8</w:t>
            </w:r>
          </w:p>
        </w:tc>
        <w:tc>
          <w:tcPr>
            <w:tcW w:w="1560" w:type="dxa"/>
          </w:tcPr>
          <w:p w14:paraId="62FDF3F0" w14:textId="77777777" w:rsidR="00CC39A6" w:rsidRDefault="00F53363">
            <w:r>
              <w:t>Shortest-hop</w:t>
            </w:r>
          </w:p>
        </w:tc>
        <w:tc>
          <w:tcPr>
            <w:tcW w:w="1560" w:type="dxa"/>
          </w:tcPr>
          <w:p w14:paraId="43842E94" w14:textId="77777777" w:rsidR="00CC39A6" w:rsidRDefault="00F53363">
            <w:r>
              <w:t>7,456.26</w:t>
            </w:r>
          </w:p>
        </w:tc>
        <w:tc>
          <w:tcPr>
            <w:tcW w:w="1560" w:type="dxa"/>
          </w:tcPr>
          <w:p w14:paraId="40FBCF4A" w14:textId="77777777" w:rsidR="00CC39A6" w:rsidRDefault="00F53363">
            <w:r>
              <w:t>35.9936</w:t>
            </w:r>
          </w:p>
        </w:tc>
        <w:tc>
          <w:tcPr>
            <w:tcW w:w="1560" w:type="dxa"/>
          </w:tcPr>
          <w:p w14:paraId="174C1676" w14:textId="77777777" w:rsidR="00CC39A6" w:rsidRDefault="00F53363">
            <w:r>
              <w:t>4.22%</w:t>
            </w:r>
          </w:p>
        </w:tc>
        <w:tc>
          <w:tcPr>
            <w:tcW w:w="1560" w:type="dxa"/>
          </w:tcPr>
          <w:p w14:paraId="5D0678C5" w14:textId="77777777" w:rsidR="00CC39A6" w:rsidRDefault="00F53363">
            <w:r>
              <w:t>—</w:t>
            </w:r>
          </w:p>
        </w:tc>
      </w:tr>
      <w:tr w:rsidR="00CC39A6" w14:paraId="7D3C3DDB" w14:textId="77777777">
        <w:tc>
          <w:tcPr>
            <w:tcW w:w="1560" w:type="dxa"/>
          </w:tcPr>
          <w:p w14:paraId="1C4A0254" w14:textId="77777777" w:rsidR="00CC39A6" w:rsidRDefault="00F53363">
            <w:r>
              <w:t>0.8</w:t>
            </w:r>
          </w:p>
        </w:tc>
        <w:tc>
          <w:tcPr>
            <w:tcW w:w="1560" w:type="dxa"/>
          </w:tcPr>
          <w:p w14:paraId="5E47FF6B" w14:textId="77777777" w:rsidR="00CC39A6" w:rsidRDefault="00F53363">
            <w:r>
              <w:t>Latency-aware</w:t>
            </w:r>
          </w:p>
        </w:tc>
        <w:tc>
          <w:tcPr>
            <w:tcW w:w="1560" w:type="dxa"/>
          </w:tcPr>
          <w:p w14:paraId="0B1EA0D6" w14:textId="77777777" w:rsidR="00CC39A6" w:rsidRDefault="00F53363">
            <w:r>
              <w:t>7,454.30</w:t>
            </w:r>
          </w:p>
        </w:tc>
        <w:tc>
          <w:tcPr>
            <w:tcW w:w="1560" w:type="dxa"/>
          </w:tcPr>
          <w:p w14:paraId="310CF9F9" w14:textId="77777777" w:rsidR="00CC39A6" w:rsidRDefault="00F53363">
            <w:r>
              <w:t>35.9936</w:t>
            </w:r>
          </w:p>
        </w:tc>
        <w:tc>
          <w:tcPr>
            <w:tcW w:w="1560" w:type="dxa"/>
          </w:tcPr>
          <w:p w14:paraId="59DEA331" w14:textId="77777777" w:rsidR="00CC39A6" w:rsidRDefault="00F53363">
            <w:r>
              <w:t>3.15%</w:t>
            </w:r>
          </w:p>
        </w:tc>
        <w:tc>
          <w:tcPr>
            <w:tcW w:w="1560" w:type="dxa"/>
          </w:tcPr>
          <w:p w14:paraId="4D27718E" w14:textId="77777777" w:rsidR="00CC39A6" w:rsidRDefault="00F53363">
            <w:r>
              <w:t>0.03%</w:t>
            </w:r>
          </w:p>
        </w:tc>
      </w:tr>
      <w:tr w:rsidR="00CC39A6" w14:paraId="4450C595" w14:textId="77777777">
        <w:tc>
          <w:tcPr>
            <w:tcW w:w="1560" w:type="dxa"/>
          </w:tcPr>
          <w:p w14:paraId="0B1E02A2" w14:textId="77777777" w:rsidR="00CC39A6" w:rsidRDefault="00F53363">
            <w:r>
              <w:t>0.8</w:t>
            </w:r>
          </w:p>
        </w:tc>
        <w:tc>
          <w:tcPr>
            <w:tcW w:w="1560" w:type="dxa"/>
          </w:tcPr>
          <w:p w14:paraId="1957AEEF" w14:textId="77777777" w:rsidR="00CC39A6" w:rsidRDefault="00F53363">
            <w:r>
              <w:t>Min-max utilisation</w:t>
            </w:r>
          </w:p>
        </w:tc>
        <w:tc>
          <w:tcPr>
            <w:tcW w:w="1560" w:type="dxa"/>
          </w:tcPr>
          <w:p w14:paraId="53DED57F" w14:textId="77777777" w:rsidR="00CC39A6" w:rsidRDefault="00F53363">
            <w:r>
              <w:t>7,467.06</w:t>
            </w:r>
          </w:p>
        </w:tc>
        <w:tc>
          <w:tcPr>
            <w:tcW w:w="1560" w:type="dxa"/>
          </w:tcPr>
          <w:p w14:paraId="26B15EB3" w14:textId="77777777" w:rsidR="00CC39A6" w:rsidRDefault="00F53363">
            <w:r>
              <w:t>36.0491</w:t>
            </w:r>
          </w:p>
        </w:tc>
        <w:tc>
          <w:tcPr>
            <w:tcW w:w="1560" w:type="dxa"/>
          </w:tcPr>
          <w:p w14:paraId="7D8AD2A3" w14:textId="77777777" w:rsidR="00CC39A6" w:rsidRDefault="00F53363">
            <w:r>
              <w:t>2.11%</w:t>
            </w:r>
          </w:p>
        </w:tc>
        <w:tc>
          <w:tcPr>
            <w:tcW w:w="1560" w:type="dxa"/>
          </w:tcPr>
          <w:p w14:paraId="51BFC0B5" w14:textId="77777777" w:rsidR="00CC39A6" w:rsidRDefault="00F53363">
            <w:r>
              <w:t>−</w:t>
            </w:r>
            <w:r>
              <w:t>0.14%</w:t>
            </w:r>
          </w:p>
        </w:tc>
      </w:tr>
      <w:tr w:rsidR="00CC39A6" w14:paraId="6BA16292" w14:textId="77777777">
        <w:tc>
          <w:tcPr>
            <w:tcW w:w="1560" w:type="dxa"/>
          </w:tcPr>
          <w:p w14:paraId="69B8B932" w14:textId="77777777" w:rsidR="00CC39A6" w:rsidRDefault="00F53363">
            <w:r>
              <w:t>0.8</w:t>
            </w:r>
          </w:p>
        </w:tc>
        <w:tc>
          <w:tcPr>
            <w:tcW w:w="1560" w:type="dxa"/>
          </w:tcPr>
          <w:p w14:paraId="6EA5ABB9" w14:textId="77777777" w:rsidR="00CC39A6" w:rsidRDefault="00F53363">
            <w:r>
              <w:t>Carbon-aware, perfect foresight</w:t>
            </w:r>
          </w:p>
        </w:tc>
        <w:tc>
          <w:tcPr>
            <w:tcW w:w="1560" w:type="dxa"/>
          </w:tcPr>
          <w:p w14:paraId="64B9BC02" w14:textId="77777777" w:rsidR="00CC39A6" w:rsidRDefault="00F53363">
            <w:r>
              <w:t>7,452.88</w:t>
            </w:r>
          </w:p>
        </w:tc>
        <w:tc>
          <w:tcPr>
            <w:tcW w:w="1560" w:type="dxa"/>
          </w:tcPr>
          <w:p w14:paraId="446E96D5" w14:textId="77777777" w:rsidR="00CC39A6" w:rsidRDefault="00F53363">
            <w:r>
              <w:t>35.9982</w:t>
            </w:r>
          </w:p>
        </w:tc>
        <w:tc>
          <w:tcPr>
            <w:tcW w:w="1560" w:type="dxa"/>
          </w:tcPr>
          <w:p w14:paraId="619D37C1" w14:textId="77777777" w:rsidR="00CC39A6" w:rsidRDefault="00F53363">
            <w:r>
              <w:t>5.76%</w:t>
            </w:r>
          </w:p>
        </w:tc>
        <w:tc>
          <w:tcPr>
            <w:tcW w:w="1560" w:type="dxa"/>
          </w:tcPr>
          <w:p w14:paraId="6770C0CD" w14:textId="77777777" w:rsidR="00CC39A6" w:rsidRDefault="00F53363">
            <w:r>
              <w:t>0.05%</w:t>
            </w:r>
          </w:p>
        </w:tc>
      </w:tr>
    </w:tbl>
    <w:p w14:paraId="294F5CAC" w14:textId="77777777" w:rsidR="00CC39A6" w:rsidRDefault="00F53363">
      <w:r>
        <w:t xml:space="preserve">Three observations follow. First, with fully load-proportional power (θ = 0), the perfect-foresight router reduced emissions by 3.18% while consuming 1.3% </w:t>
      </w:r>
      <w:r>
        <w:rPr>
          <w:i/>
        </w:rPr>
        <w:t>more</w:t>
      </w:r>
      <w:r>
        <w:t xml:space="preserve"> energy than shortest-hop routing (1.8456 vs 1.8225 kWh): its saving came from moving traffic into cleaner zones, not from saving energy. Second, the latency-aware policy, which ignores carbon entirely, achieved 2.00% at θ = 0, about two-thirds of the perfect-foresight saving, with the same energy as shortest-hop; on this topology, low-delay paths happened to cross cleaner zones. Third, as θ rose to 0.5 and 0.8, every difference between policies shrank below 0.5%, and the perfect-foresight saving fell to 0.</w:t>
      </w:r>
      <w:r>
        <w:t>13% and 0.05%. Balancing load for minimum utilisation cost energy and emissions at every θ.</w:t>
      </w:r>
    </w:p>
    <w:p w14:paraId="64A30009" w14:textId="77777777" w:rsidR="00CC39A6" w:rsidRDefault="00F53363">
      <w:r>
        <w:t xml:space="preserve">Under the pre-registered criterion of Section 5.8 (R ≥ 2% at ρ = 0.5), E1 </w:t>
      </w:r>
      <w:r>
        <w:rPr>
          <w:b/>
        </w:rPr>
        <w:t>fails</w:t>
      </w:r>
      <w:r>
        <w:t xml:space="preserve">: 0.13% is an order of magnitude below the threshold. The run itself proceeded to E2 because it applied a weaker gate (≥ 2% in any scenario), which only the idealised θ = 0 case met. Mean maximum link utilisation was 4.22% under </w:t>
      </w:r>
      <w:r>
        <w:lastRenderedPageBreak/>
        <w:t>shortest-hop routing, so these results describe a nearly empty network; Section 7.1 shows why that matters.</w:t>
      </w:r>
    </w:p>
    <w:p w14:paraId="5C453308" w14:textId="77777777" w:rsidR="00CC39A6" w:rsidRDefault="00F53363">
      <w:pPr>
        <w:pStyle w:val="Heading3"/>
      </w:pPr>
      <w:r>
        <w:t>6.2 Forecasts and Route Churn (E2)</w:t>
      </w:r>
    </w:p>
    <w:p w14:paraId="65C3AAF9" w14:textId="77777777" w:rsidR="00CC39A6" w:rsidRDefault="00F53363">
      <w:r>
        <w:t>On measured Abilene traffic, no policy — not even perfect foresight — reduced emissions measurably relative to shortest-hop routing, and every carbon-aware policy changed routes more often. Table 8 reports the 24 hourly traffic matrices of one day on the 11-node, 14-link Abilene topology with 110 demands per matrix.</w:t>
      </w:r>
    </w:p>
    <w:p w14:paraId="1E82EFF8" w14:textId="77777777" w:rsidR="00CC39A6" w:rsidRDefault="00F53363">
      <w:r>
        <w:rPr>
          <w:b/>
        </w:rPr>
        <w:t>Table 8.</w:t>
      </w:r>
      <w:r>
        <w:t xml:space="preserve"> E2 policy comparison (Abilene, 24 hourly matrices; positive reduction = fewer emissions).</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CC39A6" w14:paraId="71991CDF" w14:textId="77777777">
        <w:trPr>
          <w:tblHeader/>
        </w:trPr>
        <w:tc>
          <w:tcPr>
            <w:tcW w:w="1560" w:type="dxa"/>
            <w:shd w:val="clear" w:color="auto" w:fill="F2F2F2"/>
          </w:tcPr>
          <w:p w14:paraId="203CCAF2" w14:textId="77777777" w:rsidR="00CC39A6" w:rsidRDefault="00F53363">
            <w:r>
              <w:t>Policy</w:t>
            </w:r>
          </w:p>
        </w:tc>
        <w:tc>
          <w:tcPr>
            <w:tcW w:w="1560" w:type="dxa"/>
            <w:shd w:val="clear" w:color="auto" w:fill="F2F2F2"/>
          </w:tcPr>
          <w:p w14:paraId="57427530" w14:textId="77777777" w:rsidR="00CC39A6" w:rsidRDefault="00F53363">
            <w:r>
              <w:t>Emissions (gCO₂)</w:t>
            </w:r>
          </w:p>
        </w:tc>
        <w:tc>
          <w:tcPr>
            <w:tcW w:w="1560" w:type="dxa"/>
            <w:shd w:val="clear" w:color="auto" w:fill="F2F2F2"/>
          </w:tcPr>
          <w:p w14:paraId="2B969306" w14:textId="77777777" w:rsidR="00CC39A6" w:rsidRDefault="00F53363">
            <w:r>
              <w:t>Reduction vs shortest-hop</w:t>
            </w:r>
          </w:p>
        </w:tc>
        <w:tc>
          <w:tcPr>
            <w:tcW w:w="1560" w:type="dxa"/>
            <w:shd w:val="clear" w:color="auto" w:fill="F2F2F2"/>
          </w:tcPr>
          <w:p w14:paraId="4A9305D3" w14:textId="77777777" w:rsidR="00CC39A6" w:rsidRDefault="00F53363">
            <w:r>
              <w:t>Mean churn</w:t>
            </w:r>
          </w:p>
        </w:tc>
        <w:tc>
          <w:tcPr>
            <w:tcW w:w="1560" w:type="dxa"/>
            <w:shd w:val="clear" w:color="auto" w:fill="F2F2F2"/>
          </w:tcPr>
          <w:p w14:paraId="055355C9" w14:textId="77777777" w:rsidR="00CC39A6" w:rsidRDefault="00F53363">
            <w:r>
              <w:t>Mean solve time</w:t>
            </w:r>
          </w:p>
        </w:tc>
        <w:tc>
          <w:tcPr>
            <w:tcW w:w="1560" w:type="dxa"/>
            <w:shd w:val="clear" w:color="auto" w:fill="F2F2F2"/>
          </w:tcPr>
          <w:p w14:paraId="690EA33C" w14:textId="77777777" w:rsidR="00CC39A6" w:rsidRDefault="00F53363">
            <w:r>
              <w:t>Peak utilisation</w:t>
            </w:r>
          </w:p>
        </w:tc>
      </w:tr>
      <w:tr w:rsidR="00CC39A6" w14:paraId="0FBDA594" w14:textId="77777777">
        <w:tc>
          <w:tcPr>
            <w:tcW w:w="1560" w:type="dxa"/>
          </w:tcPr>
          <w:p w14:paraId="19F57C51" w14:textId="77777777" w:rsidR="00CC39A6" w:rsidRDefault="00F53363">
            <w:r>
              <w:t>Shortest-hop</w:t>
            </w:r>
          </w:p>
        </w:tc>
        <w:tc>
          <w:tcPr>
            <w:tcW w:w="1560" w:type="dxa"/>
          </w:tcPr>
          <w:p w14:paraId="79AEF914" w14:textId="77777777" w:rsidR="00CC39A6" w:rsidRDefault="00F53363">
            <w:r>
              <w:t>13,927.43</w:t>
            </w:r>
          </w:p>
        </w:tc>
        <w:tc>
          <w:tcPr>
            <w:tcW w:w="1560" w:type="dxa"/>
          </w:tcPr>
          <w:p w14:paraId="4896634F" w14:textId="77777777" w:rsidR="00CC39A6" w:rsidRDefault="00F53363">
            <w:r>
              <w:t>—</w:t>
            </w:r>
          </w:p>
        </w:tc>
        <w:tc>
          <w:tcPr>
            <w:tcW w:w="1560" w:type="dxa"/>
          </w:tcPr>
          <w:p w14:paraId="4C6CAF08" w14:textId="77777777" w:rsidR="00CC39A6" w:rsidRDefault="00F53363">
            <w:r>
              <w:t>6.59%</w:t>
            </w:r>
          </w:p>
        </w:tc>
        <w:tc>
          <w:tcPr>
            <w:tcW w:w="1560" w:type="dxa"/>
          </w:tcPr>
          <w:p w14:paraId="00839DE0" w14:textId="77777777" w:rsidR="00CC39A6" w:rsidRDefault="00F53363">
            <w:r>
              <w:t>85.2 ms</w:t>
            </w:r>
          </w:p>
        </w:tc>
        <w:tc>
          <w:tcPr>
            <w:tcW w:w="1560" w:type="dxa"/>
          </w:tcPr>
          <w:p w14:paraId="544C574A" w14:textId="77777777" w:rsidR="00CC39A6" w:rsidRDefault="00F53363">
            <w:r>
              <w:t>33.5%</w:t>
            </w:r>
          </w:p>
        </w:tc>
      </w:tr>
      <w:tr w:rsidR="00CC39A6" w14:paraId="5E42740D" w14:textId="77777777">
        <w:tc>
          <w:tcPr>
            <w:tcW w:w="1560" w:type="dxa"/>
          </w:tcPr>
          <w:p w14:paraId="7985C8B9" w14:textId="77777777" w:rsidR="00CC39A6" w:rsidRDefault="00F53363">
            <w:r>
              <w:t>Latency-aware</w:t>
            </w:r>
          </w:p>
        </w:tc>
        <w:tc>
          <w:tcPr>
            <w:tcW w:w="1560" w:type="dxa"/>
          </w:tcPr>
          <w:p w14:paraId="1C72569F" w14:textId="77777777" w:rsidR="00CC39A6" w:rsidRDefault="00F53363">
            <w:r>
              <w:t>13,960.96</w:t>
            </w:r>
          </w:p>
        </w:tc>
        <w:tc>
          <w:tcPr>
            <w:tcW w:w="1560" w:type="dxa"/>
          </w:tcPr>
          <w:p w14:paraId="6971DD83" w14:textId="77777777" w:rsidR="00CC39A6" w:rsidRDefault="00F53363">
            <w:r>
              <w:t>−</w:t>
            </w:r>
            <w:r>
              <w:t>0.241%</w:t>
            </w:r>
          </w:p>
        </w:tc>
        <w:tc>
          <w:tcPr>
            <w:tcW w:w="1560" w:type="dxa"/>
          </w:tcPr>
          <w:p w14:paraId="504BDCEE" w14:textId="77777777" w:rsidR="00CC39A6" w:rsidRDefault="00F53363">
            <w:r>
              <w:t>6.58%</w:t>
            </w:r>
          </w:p>
        </w:tc>
        <w:tc>
          <w:tcPr>
            <w:tcW w:w="1560" w:type="dxa"/>
          </w:tcPr>
          <w:p w14:paraId="09677759" w14:textId="77777777" w:rsidR="00CC39A6" w:rsidRDefault="00F53363">
            <w:r>
              <w:t>82.8 ms</w:t>
            </w:r>
          </w:p>
        </w:tc>
        <w:tc>
          <w:tcPr>
            <w:tcW w:w="1560" w:type="dxa"/>
          </w:tcPr>
          <w:p w14:paraId="615A3F7C" w14:textId="77777777" w:rsidR="00CC39A6" w:rsidRDefault="00F53363">
            <w:r>
              <w:t>44.9%</w:t>
            </w:r>
          </w:p>
        </w:tc>
      </w:tr>
      <w:tr w:rsidR="00CC39A6" w14:paraId="7B5860D9" w14:textId="77777777">
        <w:tc>
          <w:tcPr>
            <w:tcW w:w="1560" w:type="dxa"/>
          </w:tcPr>
          <w:p w14:paraId="366B082A" w14:textId="77777777" w:rsidR="00CC39A6" w:rsidRDefault="00F53363">
            <w:r>
              <w:t>Reactive (previous slot)</w:t>
            </w:r>
          </w:p>
        </w:tc>
        <w:tc>
          <w:tcPr>
            <w:tcW w:w="1560" w:type="dxa"/>
          </w:tcPr>
          <w:p w14:paraId="43250D3F" w14:textId="77777777" w:rsidR="00CC39A6" w:rsidRDefault="00F53363">
            <w:r>
              <w:t>13,931.36</w:t>
            </w:r>
          </w:p>
        </w:tc>
        <w:tc>
          <w:tcPr>
            <w:tcW w:w="1560" w:type="dxa"/>
          </w:tcPr>
          <w:p w14:paraId="7F7A097E" w14:textId="77777777" w:rsidR="00CC39A6" w:rsidRDefault="00F53363">
            <w:r>
              <w:t>−</w:t>
            </w:r>
            <w:r>
              <w:t>0.028%</w:t>
            </w:r>
          </w:p>
        </w:tc>
        <w:tc>
          <w:tcPr>
            <w:tcW w:w="1560" w:type="dxa"/>
          </w:tcPr>
          <w:p w14:paraId="07CB1E4A" w14:textId="77777777" w:rsidR="00CC39A6" w:rsidRDefault="00F53363">
            <w:r>
              <w:t>11.13%</w:t>
            </w:r>
          </w:p>
        </w:tc>
        <w:tc>
          <w:tcPr>
            <w:tcW w:w="1560" w:type="dxa"/>
          </w:tcPr>
          <w:p w14:paraId="1655A592" w14:textId="77777777" w:rsidR="00CC39A6" w:rsidRDefault="00F53363">
            <w:r>
              <w:t>81.3 ms</w:t>
            </w:r>
          </w:p>
        </w:tc>
        <w:tc>
          <w:tcPr>
            <w:tcW w:w="1560" w:type="dxa"/>
          </w:tcPr>
          <w:p w14:paraId="6EBD9DB7" w14:textId="77777777" w:rsidR="00CC39A6" w:rsidRDefault="00F53363">
            <w:r>
              <w:t>41.5%</w:t>
            </w:r>
          </w:p>
        </w:tc>
      </w:tr>
      <w:tr w:rsidR="00CC39A6" w14:paraId="63781033" w14:textId="77777777">
        <w:tc>
          <w:tcPr>
            <w:tcW w:w="1560" w:type="dxa"/>
          </w:tcPr>
          <w:p w14:paraId="08887047" w14:textId="77777777" w:rsidR="00CC39A6" w:rsidRDefault="00F53363">
            <w:r>
              <w:t>Forecast, AR(4)</w:t>
            </w:r>
          </w:p>
        </w:tc>
        <w:tc>
          <w:tcPr>
            <w:tcW w:w="1560" w:type="dxa"/>
          </w:tcPr>
          <w:p w14:paraId="7548089D" w14:textId="77777777" w:rsidR="00CC39A6" w:rsidRDefault="00F53363">
            <w:r>
              <w:t>13,934.51</w:t>
            </w:r>
          </w:p>
        </w:tc>
        <w:tc>
          <w:tcPr>
            <w:tcW w:w="1560" w:type="dxa"/>
          </w:tcPr>
          <w:p w14:paraId="677F7169" w14:textId="77777777" w:rsidR="00CC39A6" w:rsidRDefault="00F53363">
            <w:r>
              <w:t>−</w:t>
            </w:r>
            <w:r>
              <w:t>0.051%</w:t>
            </w:r>
          </w:p>
        </w:tc>
        <w:tc>
          <w:tcPr>
            <w:tcW w:w="1560" w:type="dxa"/>
          </w:tcPr>
          <w:p w14:paraId="1F2EA515" w14:textId="77777777" w:rsidR="00CC39A6" w:rsidRDefault="00F53363">
            <w:r>
              <w:t>11.72%</w:t>
            </w:r>
          </w:p>
        </w:tc>
        <w:tc>
          <w:tcPr>
            <w:tcW w:w="1560" w:type="dxa"/>
          </w:tcPr>
          <w:p w14:paraId="5B7FEB99" w14:textId="77777777" w:rsidR="00CC39A6" w:rsidRDefault="00F53363">
            <w:r>
              <w:t>82.6 ms</w:t>
            </w:r>
          </w:p>
        </w:tc>
        <w:tc>
          <w:tcPr>
            <w:tcW w:w="1560" w:type="dxa"/>
          </w:tcPr>
          <w:p w14:paraId="557E25AC" w14:textId="77777777" w:rsidR="00CC39A6" w:rsidRDefault="00F53363">
            <w:r>
              <w:t>32.9%</w:t>
            </w:r>
          </w:p>
        </w:tc>
      </w:tr>
      <w:tr w:rsidR="00CC39A6" w14:paraId="1EB7145F" w14:textId="77777777">
        <w:tc>
          <w:tcPr>
            <w:tcW w:w="1560" w:type="dxa"/>
          </w:tcPr>
          <w:p w14:paraId="101250C4" w14:textId="77777777" w:rsidR="00CC39A6" w:rsidRDefault="00F53363">
            <w:r>
              <w:t>Forecast, exponential smoothing</w:t>
            </w:r>
          </w:p>
        </w:tc>
        <w:tc>
          <w:tcPr>
            <w:tcW w:w="1560" w:type="dxa"/>
          </w:tcPr>
          <w:p w14:paraId="29B139AF" w14:textId="77777777" w:rsidR="00CC39A6" w:rsidRDefault="00F53363">
            <w:r>
              <w:t>13,932.17</w:t>
            </w:r>
          </w:p>
        </w:tc>
        <w:tc>
          <w:tcPr>
            <w:tcW w:w="1560" w:type="dxa"/>
          </w:tcPr>
          <w:p w14:paraId="0EFEB72F" w14:textId="77777777" w:rsidR="00CC39A6" w:rsidRDefault="00F53363">
            <w:r>
              <w:t>−</w:t>
            </w:r>
            <w:r>
              <w:t>0.034%</w:t>
            </w:r>
          </w:p>
        </w:tc>
        <w:tc>
          <w:tcPr>
            <w:tcW w:w="1560" w:type="dxa"/>
          </w:tcPr>
          <w:p w14:paraId="5CC639EC" w14:textId="77777777" w:rsidR="00CC39A6" w:rsidRDefault="00F53363">
            <w:r>
              <w:t>10.67%</w:t>
            </w:r>
          </w:p>
        </w:tc>
        <w:tc>
          <w:tcPr>
            <w:tcW w:w="1560" w:type="dxa"/>
          </w:tcPr>
          <w:p w14:paraId="3BA90740" w14:textId="77777777" w:rsidR="00CC39A6" w:rsidRDefault="00F53363">
            <w:r>
              <w:t>82.8 ms</w:t>
            </w:r>
          </w:p>
        </w:tc>
        <w:tc>
          <w:tcPr>
            <w:tcW w:w="1560" w:type="dxa"/>
          </w:tcPr>
          <w:p w14:paraId="5E87E708" w14:textId="77777777" w:rsidR="00CC39A6" w:rsidRDefault="00F53363">
            <w:r>
              <w:t>41.5%</w:t>
            </w:r>
          </w:p>
        </w:tc>
      </w:tr>
      <w:tr w:rsidR="00CC39A6" w14:paraId="307B04B9" w14:textId="77777777">
        <w:tc>
          <w:tcPr>
            <w:tcW w:w="1560" w:type="dxa"/>
          </w:tcPr>
          <w:p w14:paraId="70953AA7" w14:textId="77777777" w:rsidR="00CC39A6" w:rsidRDefault="00F53363">
            <w:r>
              <w:t>Perfect foresight</w:t>
            </w:r>
          </w:p>
        </w:tc>
        <w:tc>
          <w:tcPr>
            <w:tcW w:w="1560" w:type="dxa"/>
          </w:tcPr>
          <w:p w14:paraId="27F81713" w14:textId="77777777" w:rsidR="00CC39A6" w:rsidRDefault="00F53363">
            <w:r>
              <w:t>13,926.93</w:t>
            </w:r>
          </w:p>
        </w:tc>
        <w:tc>
          <w:tcPr>
            <w:tcW w:w="1560" w:type="dxa"/>
          </w:tcPr>
          <w:p w14:paraId="7399F7DC" w14:textId="77777777" w:rsidR="00CC39A6" w:rsidRDefault="00F53363">
            <w:r>
              <w:t>+0.004%</w:t>
            </w:r>
          </w:p>
        </w:tc>
        <w:tc>
          <w:tcPr>
            <w:tcW w:w="1560" w:type="dxa"/>
          </w:tcPr>
          <w:p w14:paraId="74C6A975" w14:textId="77777777" w:rsidR="00CC39A6" w:rsidRDefault="00F53363">
            <w:r>
              <w:t>11.39%</w:t>
            </w:r>
          </w:p>
        </w:tc>
        <w:tc>
          <w:tcPr>
            <w:tcW w:w="1560" w:type="dxa"/>
          </w:tcPr>
          <w:p w14:paraId="045FD522" w14:textId="77777777" w:rsidR="00CC39A6" w:rsidRDefault="00F53363">
            <w:r>
              <w:t>82.6 ms</w:t>
            </w:r>
          </w:p>
        </w:tc>
        <w:tc>
          <w:tcPr>
            <w:tcW w:w="1560" w:type="dxa"/>
          </w:tcPr>
          <w:p w14:paraId="6B8034EB" w14:textId="77777777" w:rsidR="00CC39A6" w:rsidRDefault="00F53363">
            <w:r>
              <w:t>39.8%</w:t>
            </w:r>
          </w:p>
        </w:tc>
      </w:tr>
      <w:tr w:rsidR="00CC39A6" w14:paraId="3F3C6F43" w14:textId="77777777">
        <w:tc>
          <w:tcPr>
            <w:tcW w:w="1560" w:type="dxa"/>
          </w:tcPr>
          <w:p w14:paraId="7A70EFAA" w14:textId="77777777" w:rsidR="00CC39A6" w:rsidRDefault="00F53363">
            <w:r>
              <w:t>Perfect foresight + noise, σ = 5%</w:t>
            </w:r>
          </w:p>
        </w:tc>
        <w:tc>
          <w:tcPr>
            <w:tcW w:w="1560" w:type="dxa"/>
          </w:tcPr>
          <w:p w14:paraId="59A75161" w14:textId="77777777" w:rsidR="00CC39A6" w:rsidRDefault="00F53363">
            <w:r>
              <w:t>13,928.39</w:t>
            </w:r>
          </w:p>
        </w:tc>
        <w:tc>
          <w:tcPr>
            <w:tcW w:w="1560" w:type="dxa"/>
          </w:tcPr>
          <w:p w14:paraId="02E9E390" w14:textId="77777777" w:rsidR="00CC39A6" w:rsidRDefault="00F53363">
            <w:r>
              <w:t>−</w:t>
            </w:r>
            <w:r>
              <w:t>0.007%</w:t>
            </w:r>
          </w:p>
        </w:tc>
        <w:tc>
          <w:tcPr>
            <w:tcW w:w="1560" w:type="dxa"/>
          </w:tcPr>
          <w:p w14:paraId="61CBBF50" w14:textId="77777777" w:rsidR="00CC39A6" w:rsidRDefault="00F53363">
            <w:r>
              <w:t>11.18%</w:t>
            </w:r>
          </w:p>
        </w:tc>
        <w:tc>
          <w:tcPr>
            <w:tcW w:w="1560" w:type="dxa"/>
          </w:tcPr>
          <w:p w14:paraId="60773C26" w14:textId="77777777" w:rsidR="00CC39A6" w:rsidRDefault="00F53363">
            <w:r>
              <w:t>82.1 ms</w:t>
            </w:r>
          </w:p>
        </w:tc>
        <w:tc>
          <w:tcPr>
            <w:tcW w:w="1560" w:type="dxa"/>
          </w:tcPr>
          <w:p w14:paraId="594B77B6" w14:textId="77777777" w:rsidR="00CC39A6" w:rsidRDefault="00F53363">
            <w:r>
              <w:t>39.8%</w:t>
            </w:r>
          </w:p>
        </w:tc>
      </w:tr>
      <w:tr w:rsidR="00CC39A6" w14:paraId="5A599CDE" w14:textId="77777777">
        <w:tc>
          <w:tcPr>
            <w:tcW w:w="1560" w:type="dxa"/>
          </w:tcPr>
          <w:p w14:paraId="0C8537A2" w14:textId="77777777" w:rsidR="00CC39A6" w:rsidRDefault="00F53363">
            <w:r>
              <w:t>Perfect foresight + noise, σ = 10%</w:t>
            </w:r>
          </w:p>
        </w:tc>
        <w:tc>
          <w:tcPr>
            <w:tcW w:w="1560" w:type="dxa"/>
          </w:tcPr>
          <w:p w14:paraId="6DB3F09B" w14:textId="77777777" w:rsidR="00CC39A6" w:rsidRDefault="00F53363">
            <w:r>
              <w:t>13,927.17</w:t>
            </w:r>
          </w:p>
        </w:tc>
        <w:tc>
          <w:tcPr>
            <w:tcW w:w="1560" w:type="dxa"/>
          </w:tcPr>
          <w:p w14:paraId="2B225156" w14:textId="77777777" w:rsidR="00CC39A6" w:rsidRDefault="00F53363">
            <w:r>
              <w:t>+0.002%</w:t>
            </w:r>
          </w:p>
        </w:tc>
        <w:tc>
          <w:tcPr>
            <w:tcW w:w="1560" w:type="dxa"/>
          </w:tcPr>
          <w:p w14:paraId="5E9720CA" w14:textId="77777777" w:rsidR="00CC39A6" w:rsidRDefault="00F53363">
            <w:r>
              <w:t>12.19%</w:t>
            </w:r>
          </w:p>
        </w:tc>
        <w:tc>
          <w:tcPr>
            <w:tcW w:w="1560" w:type="dxa"/>
          </w:tcPr>
          <w:p w14:paraId="66D1C956" w14:textId="77777777" w:rsidR="00CC39A6" w:rsidRDefault="00F53363">
            <w:r>
              <w:t>79.3 ms</w:t>
            </w:r>
          </w:p>
        </w:tc>
        <w:tc>
          <w:tcPr>
            <w:tcW w:w="1560" w:type="dxa"/>
          </w:tcPr>
          <w:p w14:paraId="1925CDEC" w14:textId="77777777" w:rsidR="00CC39A6" w:rsidRDefault="00F53363">
            <w:r>
              <w:t>39.8%</w:t>
            </w:r>
          </w:p>
        </w:tc>
      </w:tr>
      <w:tr w:rsidR="00CC39A6" w14:paraId="282E5FB1" w14:textId="77777777">
        <w:tc>
          <w:tcPr>
            <w:tcW w:w="1560" w:type="dxa"/>
          </w:tcPr>
          <w:p w14:paraId="3AE3CB16" w14:textId="77777777" w:rsidR="00CC39A6" w:rsidRDefault="00F53363">
            <w:r>
              <w:t>Perfect foresight + noise, σ = 20%</w:t>
            </w:r>
          </w:p>
        </w:tc>
        <w:tc>
          <w:tcPr>
            <w:tcW w:w="1560" w:type="dxa"/>
          </w:tcPr>
          <w:p w14:paraId="4FF2EE0C" w14:textId="77777777" w:rsidR="00CC39A6" w:rsidRDefault="00F53363">
            <w:r>
              <w:t>13,932.79</w:t>
            </w:r>
          </w:p>
        </w:tc>
        <w:tc>
          <w:tcPr>
            <w:tcW w:w="1560" w:type="dxa"/>
          </w:tcPr>
          <w:p w14:paraId="35A32125" w14:textId="77777777" w:rsidR="00CC39A6" w:rsidRDefault="00F53363">
            <w:r>
              <w:t>−</w:t>
            </w:r>
            <w:r>
              <w:t>0.038%</w:t>
            </w:r>
          </w:p>
        </w:tc>
        <w:tc>
          <w:tcPr>
            <w:tcW w:w="1560" w:type="dxa"/>
          </w:tcPr>
          <w:p w14:paraId="4E3B59AA" w14:textId="77777777" w:rsidR="00CC39A6" w:rsidRDefault="00F53363">
            <w:r>
              <w:t>13.12%</w:t>
            </w:r>
          </w:p>
        </w:tc>
        <w:tc>
          <w:tcPr>
            <w:tcW w:w="1560" w:type="dxa"/>
          </w:tcPr>
          <w:p w14:paraId="55EBA4B3" w14:textId="77777777" w:rsidR="00CC39A6" w:rsidRDefault="00F53363">
            <w:r>
              <w:t>81.1 ms</w:t>
            </w:r>
          </w:p>
        </w:tc>
        <w:tc>
          <w:tcPr>
            <w:tcW w:w="1560" w:type="dxa"/>
          </w:tcPr>
          <w:p w14:paraId="4C1A4DFA" w14:textId="77777777" w:rsidR="00CC39A6" w:rsidRDefault="00F53363">
            <w:r>
              <w:t>39.8%</w:t>
            </w:r>
          </w:p>
        </w:tc>
      </w:tr>
      <w:tr w:rsidR="00CC39A6" w14:paraId="0E909712" w14:textId="77777777">
        <w:tc>
          <w:tcPr>
            <w:tcW w:w="1560" w:type="dxa"/>
          </w:tcPr>
          <w:p w14:paraId="1619C40C" w14:textId="77777777" w:rsidR="00CC39A6" w:rsidRDefault="00F53363">
            <w:r>
              <w:t>Perfect foresight + noise, σ = 30%</w:t>
            </w:r>
          </w:p>
        </w:tc>
        <w:tc>
          <w:tcPr>
            <w:tcW w:w="1560" w:type="dxa"/>
          </w:tcPr>
          <w:p w14:paraId="7582C36B" w14:textId="77777777" w:rsidR="00CC39A6" w:rsidRDefault="00F53363">
            <w:r>
              <w:t>13,939.20</w:t>
            </w:r>
          </w:p>
        </w:tc>
        <w:tc>
          <w:tcPr>
            <w:tcW w:w="1560" w:type="dxa"/>
          </w:tcPr>
          <w:p w14:paraId="348FCF84" w14:textId="77777777" w:rsidR="00CC39A6" w:rsidRDefault="00F53363">
            <w:r>
              <w:t>−</w:t>
            </w:r>
            <w:r>
              <w:t>0.084%</w:t>
            </w:r>
          </w:p>
        </w:tc>
        <w:tc>
          <w:tcPr>
            <w:tcW w:w="1560" w:type="dxa"/>
          </w:tcPr>
          <w:p w14:paraId="0C18C74F" w14:textId="77777777" w:rsidR="00CC39A6" w:rsidRDefault="00F53363">
            <w:r>
              <w:t>14.66%</w:t>
            </w:r>
          </w:p>
        </w:tc>
        <w:tc>
          <w:tcPr>
            <w:tcW w:w="1560" w:type="dxa"/>
          </w:tcPr>
          <w:p w14:paraId="2DA2D8B3" w14:textId="77777777" w:rsidR="00CC39A6" w:rsidRDefault="00F53363">
            <w:r>
              <w:t>81.5 ms</w:t>
            </w:r>
          </w:p>
        </w:tc>
        <w:tc>
          <w:tcPr>
            <w:tcW w:w="1560" w:type="dxa"/>
          </w:tcPr>
          <w:p w14:paraId="5B600AF1" w14:textId="77777777" w:rsidR="00CC39A6" w:rsidRDefault="00F53363">
            <w:r>
              <w:t>44.7%</w:t>
            </w:r>
          </w:p>
        </w:tc>
      </w:tr>
    </w:tbl>
    <w:p w14:paraId="5C004702" w14:textId="77777777" w:rsidR="00CC39A6" w:rsidRDefault="00F53363">
      <w:r>
        <w:rPr>
          <w:b/>
        </w:rPr>
        <w:t>Table 9.</w:t>
      </w:r>
      <w:r>
        <w:t xml:space="preserve"> One-sided tests of H₁: emissions lower than shortest-hop (n = 24 hours; i.i.d. bootstrap, 1,000 resamples).</w:t>
      </w:r>
    </w:p>
    <w:tbl>
      <w:tblPr>
        <w:tblStyle w:val="TableGrid"/>
        <w:tblW w:w="0" w:type="auto"/>
        <w:tblLayout w:type="fixed"/>
        <w:tblLook w:val="0420" w:firstRow="1" w:lastRow="0" w:firstColumn="0" w:lastColumn="0" w:noHBand="0" w:noVBand="1"/>
      </w:tblPr>
      <w:tblGrid>
        <w:gridCol w:w="2340"/>
        <w:gridCol w:w="2340"/>
        <w:gridCol w:w="2340"/>
        <w:gridCol w:w="2340"/>
      </w:tblGrid>
      <w:tr w:rsidR="00CC39A6" w14:paraId="0E03FE3A" w14:textId="77777777">
        <w:trPr>
          <w:tblHeader/>
        </w:trPr>
        <w:tc>
          <w:tcPr>
            <w:tcW w:w="2340" w:type="dxa"/>
            <w:shd w:val="clear" w:color="auto" w:fill="F2F2F2"/>
          </w:tcPr>
          <w:p w14:paraId="11B0FDC8" w14:textId="77777777" w:rsidR="00CC39A6" w:rsidRDefault="00F53363">
            <w:r>
              <w:lastRenderedPageBreak/>
              <w:t>Policy</w:t>
            </w:r>
          </w:p>
        </w:tc>
        <w:tc>
          <w:tcPr>
            <w:tcW w:w="2340" w:type="dxa"/>
            <w:shd w:val="clear" w:color="auto" w:fill="F2F2F2"/>
          </w:tcPr>
          <w:p w14:paraId="4E04A444" w14:textId="77777777" w:rsidR="00CC39A6" w:rsidRDefault="00F53363">
            <w:r>
              <w:t>Mean reduction</w:t>
            </w:r>
          </w:p>
        </w:tc>
        <w:tc>
          <w:tcPr>
            <w:tcW w:w="2340" w:type="dxa"/>
            <w:shd w:val="clear" w:color="auto" w:fill="F2F2F2"/>
          </w:tcPr>
          <w:p w14:paraId="231EB0E7" w14:textId="77777777" w:rsidR="00CC39A6" w:rsidRDefault="00F53363">
            <w:r>
              <w:t>95% bootstrap CI</w:t>
            </w:r>
          </w:p>
        </w:tc>
        <w:tc>
          <w:tcPr>
            <w:tcW w:w="2340" w:type="dxa"/>
            <w:shd w:val="clear" w:color="auto" w:fill="F2F2F2"/>
          </w:tcPr>
          <w:p w14:paraId="6B754C7B" w14:textId="77777777" w:rsidR="00CC39A6" w:rsidRDefault="00F53363">
            <w:r>
              <w:t>Wilcoxon p</w:t>
            </w:r>
          </w:p>
        </w:tc>
      </w:tr>
      <w:tr w:rsidR="00CC39A6" w14:paraId="1A2240B6" w14:textId="77777777">
        <w:tc>
          <w:tcPr>
            <w:tcW w:w="2340" w:type="dxa"/>
          </w:tcPr>
          <w:p w14:paraId="4A3CAE24" w14:textId="77777777" w:rsidR="00CC39A6" w:rsidRDefault="00F53363">
            <w:r>
              <w:t>Perfect foresight</w:t>
            </w:r>
          </w:p>
        </w:tc>
        <w:tc>
          <w:tcPr>
            <w:tcW w:w="2340" w:type="dxa"/>
          </w:tcPr>
          <w:p w14:paraId="14F18854" w14:textId="77777777" w:rsidR="00CC39A6" w:rsidRDefault="00F53363">
            <w:r>
              <w:t>+0.0037%</w:t>
            </w:r>
          </w:p>
        </w:tc>
        <w:tc>
          <w:tcPr>
            <w:tcW w:w="2340" w:type="dxa"/>
          </w:tcPr>
          <w:p w14:paraId="1107AB8D" w14:textId="77777777" w:rsidR="00CC39A6" w:rsidRDefault="00F53363">
            <w:r>
              <w:t>[−0.0104%, +0.0192%]</w:t>
            </w:r>
          </w:p>
        </w:tc>
        <w:tc>
          <w:tcPr>
            <w:tcW w:w="2340" w:type="dxa"/>
          </w:tcPr>
          <w:p w14:paraId="6E4CFA11" w14:textId="77777777" w:rsidR="00CC39A6" w:rsidRDefault="00F53363">
            <w:r>
              <w:t>0.228</w:t>
            </w:r>
          </w:p>
        </w:tc>
      </w:tr>
      <w:tr w:rsidR="00CC39A6" w14:paraId="1BDEC919" w14:textId="77777777">
        <w:tc>
          <w:tcPr>
            <w:tcW w:w="2340" w:type="dxa"/>
          </w:tcPr>
          <w:p w14:paraId="2F193433" w14:textId="77777777" w:rsidR="00CC39A6" w:rsidRDefault="00F53363">
            <w:r>
              <w:t>Noise σ = 10%</w:t>
            </w:r>
          </w:p>
        </w:tc>
        <w:tc>
          <w:tcPr>
            <w:tcW w:w="2340" w:type="dxa"/>
          </w:tcPr>
          <w:p w14:paraId="74F45733" w14:textId="77777777" w:rsidR="00CC39A6" w:rsidRDefault="00F53363">
            <w:r>
              <w:t>+0.0015%</w:t>
            </w:r>
          </w:p>
        </w:tc>
        <w:tc>
          <w:tcPr>
            <w:tcW w:w="2340" w:type="dxa"/>
          </w:tcPr>
          <w:p w14:paraId="5CC23517" w14:textId="77777777" w:rsidR="00CC39A6" w:rsidRDefault="00F53363">
            <w:r>
              <w:t>[−0.0135%, +0.0170%]</w:t>
            </w:r>
          </w:p>
        </w:tc>
        <w:tc>
          <w:tcPr>
            <w:tcW w:w="2340" w:type="dxa"/>
          </w:tcPr>
          <w:p w14:paraId="217B8D0C" w14:textId="77777777" w:rsidR="00CC39A6" w:rsidRDefault="00F53363">
            <w:r>
              <w:t>0.363</w:t>
            </w:r>
          </w:p>
        </w:tc>
      </w:tr>
      <w:tr w:rsidR="00CC39A6" w14:paraId="106CF1D3" w14:textId="77777777">
        <w:tc>
          <w:tcPr>
            <w:tcW w:w="2340" w:type="dxa"/>
          </w:tcPr>
          <w:p w14:paraId="4CD57F5A" w14:textId="77777777" w:rsidR="00CC39A6" w:rsidRDefault="00F53363">
            <w:r>
              <w:t>Noise σ = 5%</w:t>
            </w:r>
          </w:p>
        </w:tc>
        <w:tc>
          <w:tcPr>
            <w:tcW w:w="2340" w:type="dxa"/>
          </w:tcPr>
          <w:p w14:paraId="35836D2C" w14:textId="77777777" w:rsidR="00CC39A6" w:rsidRDefault="00F53363">
            <w:r>
              <w:t>−</w:t>
            </w:r>
            <w:r>
              <w:t>0.0068%</w:t>
            </w:r>
          </w:p>
        </w:tc>
        <w:tc>
          <w:tcPr>
            <w:tcW w:w="2340" w:type="dxa"/>
          </w:tcPr>
          <w:p w14:paraId="0E0003C9" w14:textId="77777777" w:rsidR="00CC39A6" w:rsidRDefault="00F53363">
            <w:r>
              <w:t>[−0.0234%, +0.0087%]</w:t>
            </w:r>
          </w:p>
        </w:tc>
        <w:tc>
          <w:tcPr>
            <w:tcW w:w="2340" w:type="dxa"/>
          </w:tcPr>
          <w:p w14:paraId="319DDE7B" w14:textId="77777777" w:rsidR="00CC39A6" w:rsidRDefault="00F53363">
            <w:r>
              <w:t>0.835</w:t>
            </w:r>
          </w:p>
        </w:tc>
      </w:tr>
      <w:tr w:rsidR="00CC39A6" w14:paraId="2806AEF2" w14:textId="77777777">
        <w:tc>
          <w:tcPr>
            <w:tcW w:w="2340" w:type="dxa"/>
          </w:tcPr>
          <w:p w14:paraId="3E85D6A9" w14:textId="77777777" w:rsidR="00CC39A6" w:rsidRDefault="00F53363">
            <w:r>
              <w:t>Reactive</w:t>
            </w:r>
          </w:p>
        </w:tc>
        <w:tc>
          <w:tcPr>
            <w:tcW w:w="2340" w:type="dxa"/>
          </w:tcPr>
          <w:p w14:paraId="2F88F546" w14:textId="77777777" w:rsidR="00CC39A6" w:rsidRDefault="00F53363">
            <w:r>
              <w:t>−</w:t>
            </w:r>
            <w:r>
              <w:t>0.0283%</w:t>
            </w:r>
          </w:p>
        </w:tc>
        <w:tc>
          <w:tcPr>
            <w:tcW w:w="2340" w:type="dxa"/>
          </w:tcPr>
          <w:p w14:paraId="34365D24" w14:textId="77777777" w:rsidR="00CC39A6" w:rsidRDefault="00F53363">
            <w:r>
              <w:t>[−0.0471%, −0.0101%]</w:t>
            </w:r>
          </w:p>
        </w:tc>
        <w:tc>
          <w:tcPr>
            <w:tcW w:w="2340" w:type="dxa"/>
          </w:tcPr>
          <w:p w14:paraId="249FF856" w14:textId="77777777" w:rsidR="00CC39A6" w:rsidRDefault="00F53363">
            <w:r>
              <w:t>0.999</w:t>
            </w:r>
          </w:p>
        </w:tc>
      </w:tr>
      <w:tr w:rsidR="00CC39A6" w14:paraId="26207DF1" w14:textId="77777777">
        <w:tc>
          <w:tcPr>
            <w:tcW w:w="2340" w:type="dxa"/>
          </w:tcPr>
          <w:p w14:paraId="23723A21" w14:textId="77777777" w:rsidR="00CC39A6" w:rsidRDefault="00F53363">
            <w:r>
              <w:t>Exponential smoothing</w:t>
            </w:r>
          </w:p>
        </w:tc>
        <w:tc>
          <w:tcPr>
            <w:tcW w:w="2340" w:type="dxa"/>
          </w:tcPr>
          <w:p w14:paraId="702CD103" w14:textId="77777777" w:rsidR="00CC39A6" w:rsidRDefault="00F53363">
            <w:r>
              <w:t>−</w:t>
            </w:r>
            <w:r>
              <w:t>0.0334%</w:t>
            </w:r>
          </w:p>
        </w:tc>
        <w:tc>
          <w:tcPr>
            <w:tcW w:w="2340" w:type="dxa"/>
          </w:tcPr>
          <w:p w14:paraId="025B55CE" w14:textId="77777777" w:rsidR="00CC39A6" w:rsidRDefault="00F53363">
            <w:r>
              <w:t>[−0.0507%, −0.0181%]</w:t>
            </w:r>
          </w:p>
        </w:tc>
        <w:tc>
          <w:tcPr>
            <w:tcW w:w="2340" w:type="dxa"/>
          </w:tcPr>
          <w:p w14:paraId="04F7811A" w14:textId="77777777" w:rsidR="00CC39A6" w:rsidRDefault="00F53363">
            <w:r>
              <w:t>&gt; 0.999</w:t>
            </w:r>
          </w:p>
        </w:tc>
      </w:tr>
      <w:tr w:rsidR="00CC39A6" w14:paraId="007CE7EC" w14:textId="77777777">
        <w:tc>
          <w:tcPr>
            <w:tcW w:w="2340" w:type="dxa"/>
          </w:tcPr>
          <w:p w14:paraId="478C5990" w14:textId="77777777" w:rsidR="00CC39A6" w:rsidRDefault="00F53363">
            <w:r>
              <w:t>Noise σ = 20%</w:t>
            </w:r>
          </w:p>
        </w:tc>
        <w:tc>
          <w:tcPr>
            <w:tcW w:w="2340" w:type="dxa"/>
          </w:tcPr>
          <w:p w14:paraId="6E54BDCB" w14:textId="77777777" w:rsidR="00CC39A6" w:rsidRDefault="00F53363">
            <w:r>
              <w:t>−</w:t>
            </w:r>
            <w:r>
              <w:t>0.0397%</w:t>
            </w:r>
          </w:p>
        </w:tc>
        <w:tc>
          <w:tcPr>
            <w:tcW w:w="2340" w:type="dxa"/>
          </w:tcPr>
          <w:p w14:paraId="4401FA0D" w14:textId="77777777" w:rsidR="00CC39A6" w:rsidRDefault="00F53363">
            <w:r>
              <w:t>[−0.0677%, −0.0131%]</w:t>
            </w:r>
          </w:p>
        </w:tc>
        <w:tc>
          <w:tcPr>
            <w:tcW w:w="2340" w:type="dxa"/>
          </w:tcPr>
          <w:p w14:paraId="1AE28E61" w14:textId="77777777" w:rsidR="00CC39A6" w:rsidRDefault="00F53363">
            <w:r>
              <w:t>0.998</w:t>
            </w:r>
          </w:p>
        </w:tc>
      </w:tr>
      <w:tr w:rsidR="00CC39A6" w14:paraId="1C2CAC38" w14:textId="77777777">
        <w:tc>
          <w:tcPr>
            <w:tcW w:w="2340" w:type="dxa"/>
          </w:tcPr>
          <w:p w14:paraId="52DA038D" w14:textId="77777777" w:rsidR="00CC39A6" w:rsidRDefault="00F53363">
            <w:r>
              <w:t>AR(4)</w:t>
            </w:r>
          </w:p>
        </w:tc>
        <w:tc>
          <w:tcPr>
            <w:tcW w:w="2340" w:type="dxa"/>
          </w:tcPr>
          <w:p w14:paraId="10C7289F" w14:textId="77777777" w:rsidR="00CC39A6" w:rsidRDefault="00F53363">
            <w:r>
              <w:t>−</w:t>
            </w:r>
            <w:r>
              <w:t>0.0500%</w:t>
            </w:r>
          </w:p>
        </w:tc>
        <w:tc>
          <w:tcPr>
            <w:tcW w:w="2340" w:type="dxa"/>
          </w:tcPr>
          <w:p w14:paraId="436E0605" w14:textId="77777777" w:rsidR="00CC39A6" w:rsidRDefault="00F53363">
            <w:r>
              <w:t>[−0.0727%, −0.0287%]</w:t>
            </w:r>
          </w:p>
        </w:tc>
        <w:tc>
          <w:tcPr>
            <w:tcW w:w="2340" w:type="dxa"/>
          </w:tcPr>
          <w:p w14:paraId="6EE9D8BD" w14:textId="77777777" w:rsidR="00CC39A6" w:rsidRDefault="00F53363">
            <w:r>
              <w:t>&gt; 0.999</w:t>
            </w:r>
          </w:p>
        </w:tc>
      </w:tr>
      <w:tr w:rsidR="00CC39A6" w14:paraId="1571AD64" w14:textId="77777777">
        <w:tc>
          <w:tcPr>
            <w:tcW w:w="2340" w:type="dxa"/>
          </w:tcPr>
          <w:p w14:paraId="78D7A6FF" w14:textId="77777777" w:rsidR="00CC39A6" w:rsidRDefault="00F53363">
            <w:r>
              <w:t>Noise σ = 30%</w:t>
            </w:r>
          </w:p>
        </w:tc>
        <w:tc>
          <w:tcPr>
            <w:tcW w:w="2340" w:type="dxa"/>
          </w:tcPr>
          <w:p w14:paraId="042E8FDC" w14:textId="77777777" w:rsidR="00CC39A6" w:rsidRDefault="00F53363">
            <w:r>
              <w:t>−</w:t>
            </w:r>
            <w:r>
              <w:t>0.0817%</w:t>
            </w:r>
          </w:p>
        </w:tc>
        <w:tc>
          <w:tcPr>
            <w:tcW w:w="2340" w:type="dxa"/>
          </w:tcPr>
          <w:p w14:paraId="09518AEC" w14:textId="77777777" w:rsidR="00CC39A6" w:rsidRDefault="00F53363">
            <w:r>
              <w:t>[−0.1274%, −0.0394%]</w:t>
            </w:r>
          </w:p>
        </w:tc>
        <w:tc>
          <w:tcPr>
            <w:tcW w:w="2340" w:type="dxa"/>
          </w:tcPr>
          <w:p w14:paraId="184B225B" w14:textId="77777777" w:rsidR="00CC39A6" w:rsidRDefault="00F53363">
            <w:r>
              <w:t>&gt; 0.999</w:t>
            </w:r>
          </w:p>
        </w:tc>
      </w:tr>
      <w:tr w:rsidR="00CC39A6" w14:paraId="1A9805D8" w14:textId="77777777">
        <w:tc>
          <w:tcPr>
            <w:tcW w:w="2340" w:type="dxa"/>
          </w:tcPr>
          <w:p w14:paraId="45158EE0" w14:textId="77777777" w:rsidR="00CC39A6" w:rsidRDefault="00F53363">
            <w:r>
              <w:t>Latency-aware</w:t>
            </w:r>
          </w:p>
        </w:tc>
        <w:tc>
          <w:tcPr>
            <w:tcW w:w="2340" w:type="dxa"/>
          </w:tcPr>
          <w:p w14:paraId="6716EE08" w14:textId="77777777" w:rsidR="00CC39A6" w:rsidRDefault="00F53363">
            <w:r>
              <w:t>−</w:t>
            </w:r>
            <w:r>
              <w:t>0.2388%</w:t>
            </w:r>
          </w:p>
        </w:tc>
        <w:tc>
          <w:tcPr>
            <w:tcW w:w="2340" w:type="dxa"/>
          </w:tcPr>
          <w:p w14:paraId="75B68DC2" w14:textId="77777777" w:rsidR="00CC39A6" w:rsidRDefault="00F53363">
            <w:r>
              <w:t>[−0.2805%, −0.1967%]</w:t>
            </w:r>
          </w:p>
        </w:tc>
        <w:tc>
          <w:tcPr>
            <w:tcW w:w="2340" w:type="dxa"/>
          </w:tcPr>
          <w:p w14:paraId="7769380B" w14:textId="77777777" w:rsidR="00CC39A6" w:rsidRDefault="00F53363">
            <w:r>
              <w:t>1.000</w:t>
            </w:r>
          </w:p>
        </w:tc>
      </w:tr>
    </w:tbl>
    <w:p w14:paraId="5524EF15" w14:textId="77777777" w:rsidR="00CC39A6" w:rsidRDefault="00F53363">
      <w:r>
        <w:t xml:space="preserve">The null hypothesis was not rejected for any policy (Table 9). The perfect-foresight saving of 0.0037% has an interval that includes zero, so on this day of Abilene traffic the achievable saving is indistinguishable from nothing. For the reactive and forecast-driven policies, and for noise of 20% or more, the whole interval lies below zero: these policies </w:t>
      </w:r>
      <w:r>
        <w:rPr>
          <w:i/>
        </w:rPr>
        <w:t>increased</w:t>
      </w:r>
      <w:r>
        <w:t xml:space="preserve"> emissions slightly relative to shortest-hop routing. Because hours are autocorrelated and the bootstrap treated them as independent (Table 6), these intervals are probably too narrow; the direction of the effect, not its significance, is the robust finding.</w:t>
      </w:r>
    </w:p>
    <w:p w14:paraId="04F4DAA4" w14:textId="77777777" w:rsidR="00CC39A6" w:rsidRDefault="00F53363">
      <w:r>
        <w:t>Route churn tells the clearer story. Shortest-hop routing moved 6.59% of traffic per hour, while every carbon-aware policy moved between 10.67% and 14.66%, up to 2.2 times as much. Under perfect foresight with added noise, churn rose monotonically with forecast error, from 11.18% at σ = 5% to 14.66% at σ = 30%, while emissions did not improve. The controller was reacting to forecast noise rather than to exploitable differences in carbon. Latency-aware routing, which saved 2.00% on the proxy network at θ = 0</w:t>
      </w:r>
      <w:r>
        <w:t>, cost 0.24% on Abilene, so the side benefit of low-delay paths observed in Section 6.1 is topology-specific. The setting of θ used in E2 is not stated in the run and must be reported (Table 6).</w:t>
      </w:r>
    </w:p>
    <w:p w14:paraId="4074692B" w14:textId="77777777" w:rsidR="00CC39A6" w:rsidRDefault="00F53363">
      <w:pPr>
        <w:pStyle w:val="Heading3"/>
      </w:pPr>
      <w:r>
        <w:t>6.3 Sensitivity: Idle Share, Sleeping, Latency Slack and Grid Heterogeneity (E3)</w:t>
      </w:r>
    </w:p>
    <w:p w14:paraId="4CF37B2D" w14:textId="77777777" w:rsidR="00CC39A6" w:rsidRDefault="00F53363">
      <w:r>
        <w:t>The saving depended on grid heterogeneity far more than on latency slack, and the sleeping heuristic tested here raised emissions. Each dimension of E3 used its own setup (Table 6), so values are comparable only within a table.</w:t>
      </w:r>
    </w:p>
    <w:p w14:paraId="33C93E0C" w14:textId="77777777" w:rsidR="00CC39A6" w:rsidRDefault="00F53363">
      <w:r>
        <w:rPr>
          <w:b/>
        </w:rPr>
        <w:t>Table 10.</w:t>
      </w:r>
      <w:r>
        <w:t xml:space="preserve"> E3-A: routing alone vs routing with link consolidation and low-power idle links (15% residual link power).</w:t>
      </w:r>
    </w:p>
    <w:tbl>
      <w:tblPr>
        <w:tblStyle w:val="TableGrid"/>
        <w:tblW w:w="0" w:type="auto"/>
        <w:tblLayout w:type="fixed"/>
        <w:tblLook w:val="0420" w:firstRow="1" w:lastRow="0" w:firstColumn="0" w:lastColumn="0" w:noHBand="0" w:noVBand="1"/>
      </w:tblPr>
      <w:tblGrid>
        <w:gridCol w:w="3120"/>
        <w:gridCol w:w="3120"/>
        <w:gridCol w:w="3120"/>
      </w:tblGrid>
      <w:tr w:rsidR="00CC39A6" w14:paraId="38A519DE" w14:textId="77777777">
        <w:trPr>
          <w:tblHeader/>
        </w:trPr>
        <w:tc>
          <w:tcPr>
            <w:tcW w:w="3120" w:type="dxa"/>
            <w:shd w:val="clear" w:color="auto" w:fill="F2F2F2"/>
          </w:tcPr>
          <w:p w14:paraId="4A5E1DE3" w14:textId="77777777" w:rsidR="00CC39A6" w:rsidRDefault="00F53363">
            <w:r>
              <w:t>θ</w:t>
            </w:r>
          </w:p>
        </w:tc>
        <w:tc>
          <w:tcPr>
            <w:tcW w:w="3120" w:type="dxa"/>
            <w:shd w:val="clear" w:color="auto" w:fill="F2F2F2"/>
          </w:tcPr>
          <w:p w14:paraId="17AD6AE7" w14:textId="77777777" w:rsidR="00CC39A6" w:rsidRDefault="00F53363">
            <w:r>
              <w:t>Routing only: reduction</w:t>
            </w:r>
          </w:p>
        </w:tc>
        <w:tc>
          <w:tcPr>
            <w:tcW w:w="3120" w:type="dxa"/>
            <w:shd w:val="clear" w:color="auto" w:fill="F2F2F2"/>
          </w:tcPr>
          <w:p w14:paraId="72EAE6CC" w14:textId="77777777" w:rsidR="00CC39A6" w:rsidRDefault="00F53363">
            <w:r>
              <w:t>With consolidation: reduction</w:t>
            </w:r>
          </w:p>
        </w:tc>
      </w:tr>
      <w:tr w:rsidR="00CC39A6" w14:paraId="4A67D67B" w14:textId="77777777">
        <w:tc>
          <w:tcPr>
            <w:tcW w:w="3120" w:type="dxa"/>
          </w:tcPr>
          <w:p w14:paraId="30DE39EF" w14:textId="77777777" w:rsidR="00CC39A6" w:rsidRDefault="00F53363">
            <w:r>
              <w:t>0.00</w:t>
            </w:r>
          </w:p>
        </w:tc>
        <w:tc>
          <w:tcPr>
            <w:tcW w:w="3120" w:type="dxa"/>
          </w:tcPr>
          <w:p w14:paraId="586148F5" w14:textId="77777777" w:rsidR="00CC39A6" w:rsidRDefault="00F53363">
            <w:r>
              <w:t>−</w:t>
            </w:r>
            <w:r>
              <w:t>0.003%</w:t>
            </w:r>
          </w:p>
        </w:tc>
        <w:tc>
          <w:tcPr>
            <w:tcW w:w="3120" w:type="dxa"/>
          </w:tcPr>
          <w:p w14:paraId="2738D59E" w14:textId="77777777" w:rsidR="00CC39A6" w:rsidRDefault="00F53363">
            <w:r>
              <w:t>−</w:t>
            </w:r>
            <w:r>
              <w:t>17.18%</w:t>
            </w:r>
          </w:p>
        </w:tc>
      </w:tr>
      <w:tr w:rsidR="00CC39A6" w14:paraId="68D2110B" w14:textId="77777777">
        <w:tc>
          <w:tcPr>
            <w:tcW w:w="3120" w:type="dxa"/>
          </w:tcPr>
          <w:p w14:paraId="0C9BFC7C" w14:textId="77777777" w:rsidR="00CC39A6" w:rsidRDefault="00F53363">
            <w:r>
              <w:t>0.20</w:t>
            </w:r>
          </w:p>
        </w:tc>
        <w:tc>
          <w:tcPr>
            <w:tcW w:w="3120" w:type="dxa"/>
          </w:tcPr>
          <w:p w14:paraId="5731E5AE" w14:textId="77777777" w:rsidR="00CC39A6" w:rsidRDefault="00F53363">
            <w:r>
              <w:t>+0.001%</w:t>
            </w:r>
          </w:p>
        </w:tc>
        <w:tc>
          <w:tcPr>
            <w:tcW w:w="3120" w:type="dxa"/>
          </w:tcPr>
          <w:p w14:paraId="30452CBD" w14:textId="77777777" w:rsidR="00CC39A6" w:rsidRDefault="00F53363">
            <w:r>
              <w:t>−</w:t>
            </w:r>
            <w:r>
              <w:t>4.95%</w:t>
            </w:r>
          </w:p>
        </w:tc>
      </w:tr>
      <w:tr w:rsidR="00CC39A6" w14:paraId="778B8CB3" w14:textId="77777777">
        <w:tc>
          <w:tcPr>
            <w:tcW w:w="3120" w:type="dxa"/>
          </w:tcPr>
          <w:p w14:paraId="5DE4D0A6" w14:textId="77777777" w:rsidR="00CC39A6" w:rsidRDefault="00F53363">
            <w:r>
              <w:lastRenderedPageBreak/>
              <w:t>0.50</w:t>
            </w:r>
          </w:p>
        </w:tc>
        <w:tc>
          <w:tcPr>
            <w:tcW w:w="3120" w:type="dxa"/>
          </w:tcPr>
          <w:p w14:paraId="2E256199" w14:textId="77777777" w:rsidR="00CC39A6" w:rsidRDefault="00F53363">
            <w:r>
              <w:t>+0.002%</w:t>
            </w:r>
          </w:p>
        </w:tc>
        <w:tc>
          <w:tcPr>
            <w:tcW w:w="3120" w:type="dxa"/>
          </w:tcPr>
          <w:p w14:paraId="6B1DF6A2" w14:textId="77777777" w:rsidR="00CC39A6" w:rsidRDefault="00F53363">
            <w:r>
              <w:t>−</w:t>
            </w:r>
            <w:r>
              <w:t>1.48%</w:t>
            </w:r>
          </w:p>
        </w:tc>
      </w:tr>
      <w:tr w:rsidR="00CC39A6" w14:paraId="6C2C507F" w14:textId="77777777">
        <w:tc>
          <w:tcPr>
            <w:tcW w:w="3120" w:type="dxa"/>
          </w:tcPr>
          <w:p w14:paraId="3FA1A5F0" w14:textId="77777777" w:rsidR="00CC39A6" w:rsidRDefault="00F53363">
            <w:r>
              <w:t>0.80</w:t>
            </w:r>
          </w:p>
        </w:tc>
        <w:tc>
          <w:tcPr>
            <w:tcW w:w="3120" w:type="dxa"/>
          </w:tcPr>
          <w:p w14:paraId="3767CC38" w14:textId="77777777" w:rsidR="00CC39A6" w:rsidRDefault="00F53363">
            <w:r>
              <w:t>+0.002%</w:t>
            </w:r>
          </w:p>
        </w:tc>
        <w:tc>
          <w:tcPr>
            <w:tcW w:w="3120" w:type="dxa"/>
          </w:tcPr>
          <w:p w14:paraId="241246A1" w14:textId="77777777" w:rsidR="00CC39A6" w:rsidRDefault="00F53363">
            <w:r>
              <w:t>−</w:t>
            </w:r>
            <w:r>
              <w:t>0.28%</w:t>
            </w:r>
          </w:p>
        </w:tc>
      </w:tr>
      <w:tr w:rsidR="00CC39A6" w14:paraId="27469FCF" w14:textId="77777777">
        <w:tc>
          <w:tcPr>
            <w:tcW w:w="3120" w:type="dxa"/>
          </w:tcPr>
          <w:p w14:paraId="7B19194F" w14:textId="77777777" w:rsidR="00CC39A6" w:rsidRDefault="00F53363">
            <w:r>
              <w:t>0.95</w:t>
            </w:r>
          </w:p>
        </w:tc>
        <w:tc>
          <w:tcPr>
            <w:tcW w:w="3120" w:type="dxa"/>
          </w:tcPr>
          <w:p w14:paraId="0CECF199" w14:textId="77777777" w:rsidR="00CC39A6" w:rsidRDefault="00F53363">
            <w:r>
              <w:t>+0.002%</w:t>
            </w:r>
          </w:p>
        </w:tc>
        <w:tc>
          <w:tcPr>
            <w:tcW w:w="3120" w:type="dxa"/>
          </w:tcPr>
          <w:p w14:paraId="78FD44D5" w14:textId="77777777" w:rsidR="00CC39A6" w:rsidRDefault="00F53363">
            <w:r>
              <w:t>+0.066%</w:t>
            </w:r>
          </w:p>
        </w:tc>
      </w:tr>
    </w:tbl>
    <w:p w14:paraId="5B6D8890" w14:textId="77777777" w:rsidR="00CC39A6" w:rsidRDefault="00F53363">
      <w:r>
        <w:t xml:space="preserve">Without sleeping, the carbon-aware router differed from the baseline by at most 0.003% across θ from 0 to 0.95. With consolidation, emissions </w:t>
      </w:r>
      <w:r>
        <w:rPr>
          <w:i/>
        </w:rPr>
        <w:t>rose</w:t>
      </w:r>
      <w:r>
        <w:t xml:space="preserve"> by 17.18% at θ = 0, by a shrinking amount as θ increased, and fell by 0.066% only at θ = 0.95. The consolidation moved traffic onto longer paths whose load-dependent power exceeded the power saved by idling links. This result is specific to the heuristic, which did not minimise the evaluated emissions: an exact formulation could always retain the baseline routing and so could never be worse than it. It therefore shows that naive consolidation can backfire, not that coordinated sleeping cannot help.</w:t>
      </w:r>
    </w:p>
    <w:p w14:paraId="141CD747" w14:textId="77777777" w:rsidR="00CC39A6" w:rsidRDefault="00F53363">
      <w:r>
        <w:t>Increasing the latency budget beyond the minimum-delay path barely mattered (E3-B). Relaxing the budget to 1.25 times the minimum delay raised average path delay from 6.180 to 6.435 ms (a stretch of 1.041) and reduced emissions from 249.30 to 249.18 gCO₂ (0.049%); budgets up to 5 times the minimum produced no further change, because the lowest-carbon path was already reachable.</w:t>
      </w:r>
    </w:p>
    <w:p w14:paraId="317B85E7" w14:textId="77777777" w:rsidR="00CC39A6" w:rsidRDefault="00F53363">
      <w:r>
        <w:t>Grid heterogeneity mattered most (E3-C). With uniform intensity across regions the saving was zero by construction; with a spread of 54.4 gCO₂/kWh (standard deviation across regions) it was 0.025%; and with a spread of 249.0 gCO₂/kWh it was 0.230%, about 9 times larger. Even the high-spread case remains well below 1%.</w:t>
      </w:r>
    </w:p>
    <w:p w14:paraId="6ACCB0DA" w14:textId="77777777" w:rsidR="00CC39A6" w:rsidRDefault="00F53363">
      <w:pPr>
        <w:pStyle w:val="Heading3"/>
      </w:pPr>
      <w:r>
        <w:t>6.4 Ablation (E4)</w:t>
      </w:r>
    </w:p>
    <w:p w14:paraId="49A99567" w14:textId="77777777" w:rsidR="00CC39A6" w:rsidRDefault="00F53363">
      <w:r>
        <w:t>Not yet run. Because the proposed commit rule was not evaluated in E2, there is at present no full-method result to ablate (Table 6).</w:t>
      </w:r>
    </w:p>
    <w:p w14:paraId="09D57427" w14:textId="77777777" w:rsidR="00CC39A6" w:rsidRDefault="00F53363">
      <w:pPr>
        <w:pStyle w:val="Heading3"/>
      </w:pPr>
      <w:r>
        <w:t>6.5 Computation Time</w:t>
      </w:r>
    </w:p>
    <w:p w14:paraId="5CD5A693" w14:textId="77777777" w:rsidR="00CC39A6" w:rsidRDefault="00F53363">
      <w:r>
        <w:t>On Abilene, a decision for 110 demands took between 79.3 and 85.2 ms on average for every policy (Table 8), so solving the linear program at every 5- or 15-minute slot is computationally negligible at this scale. Times for GÉANT-scale instances will be reported after the rerun.</w:t>
      </w:r>
    </w:p>
    <w:p w14:paraId="0B644E44" w14:textId="77777777" w:rsidR="00CC39A6" w:rsidRDefault="00F53363">
      <w:pPr>
        <w:pStyle w:val="Heading2"/>
      </w:pPr>
      <w:r>
        <w:t>7 Discussion and Limitations</w:t>
      </w:r>
    </w:p>
    <w:p w14:paraId="221B39A8" w14:textId="77777777" w:rsidR="00CC39A6" w:rsidRDefault="00F53363">
      <w:r>
        <w:t>Section 6 found that routing alone saved almost nothing once idle power was counted, and that forecast-driven routing bought no saving at the price of more route changes. This section explains why (Section 7.1), what the churn result implies for the proposed commit rule (Section 7.2), where larger savings could come from (Section 7.3), how the findings relate to prior work (Section 7.4), and what limits their validity (Section 7.5).</w:t>
      </w:r>
    </w:p>
    <w:p w14:paraId="097FA94B" w14:textId="77777777" w:rsidR="00CC39A6" w:rsidRDefault="00F53363">
      <w:pPr>
        <w:pStyle w:val="Heading3"/>
      </w:pPr>
      <w:r>
        <w:t>7.1 A Ceiling on What Routing Can Save</w:t>
      </w:r>
    </w:p>
    <w:p w14:paraId="018E4BC3" w14:textId="77777777" w:rsidR="00CC39A6" w:rsidRDefault="00F53363">
      <w:r>
        <w:t>The power model (2) implies a simple bound. Write u_v = ℓ_v / Γ_v for the utilisation of node v and ū for its power-weighted mean, ū = Σ P^max_v u_v / Σ P^max_v. The share of network power that routing can influence is then</w:t>
      </w:r>
    </w:p>
    <w:p w14:paraId="4AFD1D14" w14:textId="77777777" w:rsidR="00CC39A6" w:rsidRDefault="00F53363">
      <w:pPr>
        <w:pStyle w:val="Code"/>
      </w:pPr>
      <w:bookmarkStart w:id="9" w:name="bongo_lang_latex_10"/>
      <w:bookmarkEnd w:id="9"/>
      <w:r>
        <w:lastRenderedPageBreak/>
        <w:t>\varphi(\rho, \bar{u}) = \frac{(1-\rho)\,\bar{u}}{\rho + (1-\rho)\,\bar{u}} \;\le\; 1-\rho. \tag{10}</w:t>
      </w:r>
    </w:p>
    <w:p w14:paraId="6B516CAB" w14:textId="77777777" w:rsidR="00CC39A6" w:rsidRDefault="00F53363">
      <w:r>
        <w:t>If, with fully load-proportional power, the best routing removes a fraction s₀ of emissions, then at idle share ρ it removes approximately S(ρ) = s₀ · φ(ρ, ū) of total emissions, assuming that carbon intensity is not systematically related to node utilisation. Because φ ≤ 1 − ρ, routing can never save more than half its load-proportional saving at ρ = 0.5, or one-fifth at ρ = 0.8, however heavily the network is loaded; at light load it saves far less.</w:t>
      </w:r>
    </w:p>
    <w:p w14:paraId="2DC2D0B6" w14:textId="77777777" w:rsidR="00CC39A6" w:rsidRDefault="00F53363">
      <w:r>
        <w:t>The E1 data follow this bound closely. The ratio of total energy at θ = 0.5 to that at θ = 0 is 12.72, which under (2) implies ū = 0.041; the ratio at θ = 0.8 implies the same value. With s₀ = 3.18%, (10) predicts savings of 0.13% at θ = 0.5 and 0.03% at θ = 0.8, against observed values of 0.13% and 0.05%. The collapse in Table 7 is therefore not an artefact of the optimiser: it is what (10) requires of a network running at about 4% utilisation.</w:t>
      </w:r>
    </w:p>
    <w:p w14:paraId="25CDA1DF" w14:textId="77777777" w:rsidR="00CC39A6" w:rsidRDefault="00F53363">
      <w:r>
        <w:t>The bound also shows what the rerun on real GÉANT traffic can and cannot change. Higher utilisation raises φ: at ρ = 0.5, φ is 0.09 at ū = 0.1 and 0.23 at ū = 0.3. But to reach the pre-registered 2% at ρ = 0.5, the load-proportional saving s₀ would have to be at least 4% even at full utilisation, and about 51% at the utilisation of E1. At ρ = 0.8 it would need at least 10%. This gives the rerun a falsifiable prediction: unless real GÉANT topology and grid data yield a load-proportional saving well above the</w:t>
      </w:r>
      <w:r>
        <w:t xml:space="preserve"> 3.18% observed here, routing-only savings at realistic idle shares will remain below 2%.</w:t>
      </w:r>
    </w:p>
    <w:p w14:paraId="5CC7B3FD" w14:textId="77777777" w:rsidR="00CC39A6" w:rsidRDefault="00F53363">
      <w:pPr>
        <w:pStyle w:val="Heading3"/>
      </w:pPr>
      <w:r>
        <w:t>7.2 Forecasts, Churn and the Case for Gating</w:t>
      </w:r>
    </w:p>
    <w:p w14:paraId="7450D1CA" w14:textId="77777777" w:rsidR="00CC39A6" w:rsidRDefault="00F53363">
      <w:r>
        <w:t>Forecasts cannot improve a decision whose achievable benefit is zero. On Abilene, even perfect foresight saved an amount indistinguishable from zero (Table 9), so no forecaster could do better, and the forecast-driven policies did slightly worse. What forecasts did change was route churn: every carbon-aware policy moved up to 2.2 times as much traffic per hour as shortest-hop routing, and with synthetic noise the churn grew steadily with forecast error. The controllers were reacting to noise.</w:t>
      </w:r>
    </w:p>
    <w:p w14:paraId="5B8D2D44" w14:textId="77777777" w:rsidR="00CC39A6" w:rsidRDefault="00F53363">
      <w:r>
        <w:t>This is precisely the situation the commit rule of Section 4.4 is designed for. When the cautious saving (8) is smaller than the cost of change, the rule keeps the routing in force; if forecast noise dominates the saving, as it did here, the rule should suppress almost every change. The resulting hypothesis is testable and has not yet been tested: with the commit rule, churn should fall to near the level of shortest-hop routing at no measurable cost in emissions. If it holds, the practical value of the rule</w:t>
      </w:r>
      <w:r>
        <w:t xml:space="preserve"> is to stop a carbon-aware controller from paying a churn cost for savings that do not exist; if it fails, that is equally reportable.</w:t>
      </w:r>
    </w:p>
    <w:p w14:paraId="520E5F58" w14:textId="77777777" w:rsidR="00CC39A6" w:rsidRDefault="00F53363">
      <w:pPr>
        <w:pStyle w:val="Heading3"/>
      </w:pPr>
      <w:r>
        <w:t>7.3 Where Larger Savings Could Come From</w:t>
      </w:r>
    </w:p>
    <w:p w14:paraId="0C6CA46A" w14:textId="77777777" w:rsidR="00CC39A6" w:rsidRDefault="00F53363">
      <w:r>
        <w:t xml:space="preserve">The results and (10) point to three conditions under which carbon-aware TE could matter. The first is </w:t>
      </w:r>
      <w:r>
        <w:rPr>
          <w:i/>
        </w:rPr>
        <w:t>power-proportional equipment</w:t>
      </w:r>
      <w:r>
        <w:t xml:space="preserve">: at θ = 0 the perfect-foresight saving was 3.18%, so lower idle power directly enlarges what routing can act on, consistent with the recommendation in [6] to replace equipment with high static power. The second is </w:t>
      </w:r>
      <w:r>
        <w:rPr>
          <w:i/>
        </w:rPr>
        <w:t>grid heterogeneity</w:t>
      </w:r>
      <w:r>
        <w:t xml:space="preserve">: E3-C showed the saving growing about ninefold from a moderate to a high spread of regional intensity, so networks that span very different grids, or future grids with more variable renewable supply, offer more room. The third is </w:t>
      </w:r>
      <w:r>
        <w:rPr>
          <w:i/>
        </w:rPr>
        <w:t>deactivation</w:t>
      </w:r>
      <w:r>
        <w:t xml:space="preserve">, which acts on the idle term that routing cannot reach. The consolidation heuristic of E3-A made matters worse, but prior work that optimises deactivation exactly or near-exactly reports line-card power reductions of 27% to 42% [10] and switches off about 70% of ports and line cards during low-load </w:t>
      </w:r>
      <w:r>
        <w:lastRenderedPageBreak/>
        <w:t>periods [14]. Combining those methods with carbon weights, and solving them exactly as in Section 4.6, is the most promising extension.</w:t>
      </w:r>
    </w:p>
    <w:p w14:paraId="3EEC2A22" w14:textId="77777777" w:rsidR="00CC39A6" w:rsidRDefault="00F53363">
      <w:r>
        <w:t>Latency slack, by contrast, was not a binding constraint: the saving saturated at a stretch of 1.041 (E3-B). Strict latency bounds therefore cost little in this setting, but they also explain little of why savings are small.</w:t>
      </w:r>
    </w:p>
    <w:p w14:paraId="051939F7" w14:textId="77777777" w:rsidR="00CC39A6" w:rsidRDefault="00F53363">
      <w:pPr>
        <w:pStyle w:val="Heading3"/>
      </w:pPr>
      <w:r>
        <w:t>7.4 Relation to Prior Work</w:t>
      </w:r>
    </w:p>
    <w:p w14:paraId="33D16384" w14:textId="77777777" w:rsidR="00CC39A6" w:rsidRDefault="00F53363">
      <w:r>
        <w:t xml:space="preserve">The direction of these findings agrees with El-Zahr et al., who concluded that routing alone is insufficient for large reductions and that savings fall as the idle-to-dynamic power ratio rises [6]. Our savings are smaller than their 7.48% on GÉANT for three identifiable reasons: our proxy network was smaller and almost empty, our idle shares were higher in most scenarios than the idle-to-dynamic ratio they assumed, and our baselines and evaluation setup differ from theirs. Equation (10) adds a quantitative </w:t>
      </w:r>
      <w:r>
        <w:t>explanation that ties the first two of these effects to measurable network properties. The churn result parallels findings in carbon-aware computing, where simple policies captured most of the achievable reduction [19]: in both domains, sophistication in prediction cannot create savings that the underlying system does not offer.</w:t>
      </w:r>
    </w:p>
    <w:p w14:paraId="02E38DEE" w14:textId="77777777" w:rsidR="00CC39A6" w:rsidRDefault="00F53363">
      <w:pPr>
        <w:pStyle w:val="Heading3"/>
      </w:pPr>
      <w:r>
        <w:t>7.5 Threats to Validity</w:t>
      </w:r>
    </w:p>
    <w:p w14:paraId="6EC8A82B" w14:textId="77777777" w:rsidR="00CC39A6" w:rsidRDefault="00F53363">
      <w:pPr>
        <w:pStyle w:val="ListParagraph"/>
        <w:numPr>
          <w:ilvl w:val="0"/>
          <w:numId w:val="6"/>
        </w:numPr>
      </w:pPr>
      <w:r>
        <w:rPr>
          <w:b/>
        </w:rPr>
        <w:t>Preliminary setup.</w:t>
      </w:r>
      <w:r>
        <w:t xml:space="preserve"> E1 used a 6-node proxy network at about 4% utilisation and E2 a single day of Abilene traffic (Table 6). The direction of the findings is supported by (10), but their magnitudes must be confirmed on GÉANT and on the full Abilene period.</w:t>
      </w:r>
    </w:p>
    <w:p w14:paraId="22E8691E" w14:textId="77777777" w:rsidR="00CC39A6" w:rsidRDefault="00F53363">
      <w:pPr>
        <w:pStyle w:val="ListParagraph"/>
        <w:numPr>
          <w:ilvl w:val="0"/>
          <w:numId w:val="6"/>
        </w:numPr>
      </w:pPr>
      <w:r>
        <w:rPr>
          <w:b/>
        </w:rPr>
        <w:t>Modeled power.</w:t>
      </w:r>
      <w:r>
        <w:t xml:space="preserve"> No measured power exists for these networks. Conclusions hold under the linear model (2); equipment with strongly non-linear power curves could behave differently.</w:t>
      </w:r>
    </w:p>
    <w:p w14:paraId="4915793E" w14:textId="77777777" w:rsidR="00CC39A6" w:rsidRDefault="00F53363">
      <w:pPr>
        <w:pStyle w:val="ListParagraph"/>
        <w:numPr>
          <w:ilvl w:val="0"/>
          <w:numId w:val="6"/>
        </w:numPr>
      </w:pPr>
      <w:r>
        <w:rPr>
          <w:b/>
        </w:rPr>
        <w:t>Average emission factors.</w:t>
      </w:r>
      <w:r>
        <w:t xml:space="preserve"> Results are modeled average-factor emissions, not avoided emissions [30]. The carbon-intensity source and the traffic–grid pairing used in the run must still be reported.</w:t>
      </w:r>
    </w:p>
    <w:p w14:paraId="57D91517" w14:textId="77777777" w:rsidR="00CC39A6" w:rsidRDefault="00F53363">
      <w:pPr>
        <w:pStyle w:val="ListParagraph"/>
        <w:numPr>
          <w:ilvl w:val="0"/>
          <w:numId w:val="6"/>
        </w:numPr>
      </w:pPr>
      <w:r>
        <w:rPr>
          <w:b/>
        </w:rPr>
        <w:t>Statistics.</w:t>
      </w:r>
      <w:r>
        <w:t xml:space="preserve"> The intervals in Table 9 treat autocorrelated hours as independent and are likely too narrow; day-level block bootstrap is required (Section 5.7).</w:t>
      </w:r>
    </w:p>
    <w:p w14:paraId="3E0AFDD4" w14:textId="77777777" w:rsidR="00CC39A6" w:rsidRDefault="00F53363">
      <w:pPr>
        <w:pStyle w:val="ListParagraph"/>
        <w:numPr>
          <w:ilvl w:val="0"/>
          <w:numId w:val="6"/>
        </w:numPr>
      </w:pPr>
      <w:r>
        <w:rPr>
          <w:b/>
        </w:rPr>
        <w:t>Churn definition.</w:t>
      </w:r>
      <w:r>
        <w:t xml:space="preserve"> Shortest-hop routing reported 6.59% churn although a static routing should report none; the definition must be checked before churn ratios are relied on.</w:t>
      </w:r>
    </w:p>
    <w:p w14:paraId="46B88C20" w14:textId="77777777" w:rsidR="00CC39A6" w:rsidRDefault="00F53363">
      <w:pPr>
        <w:pStyle w:val="ListParagraph"/>
        <w:numPr>
          <w:ilvl w:val="0"/>
          <w:numId w:val="6"/>
        </w:numPr>
      </w:pPr>
      <w:r>
        <w:rPr>
          <w:b/>
        </w:rPr>
        <w:t>Sleeping heuristic.</w:t>
      </w:r>
      <w:r>
        <w:t xml:space="preserve"> E3-A evaluates one heuristic that does not minimise the evaluated emissions; it says nothing about exact deactivation.</w:t>
      </w:r>
    </w:p>
    <w:p w14:paraId="30E486DC" w14:textId="77777777" w:rsidR="00CC39A6" w:rsidRDefault="00F53363">
      <w:pPr>
        <w:pStyle w:val="ListParagraph"/>
        <w:numPr>
          <w:ilvl w:val="0"/>
          <w:numId w:val="6"/>
        </w:numPr>
      </w:pPr>
      <w:r>
        <w:rPr>
          <w:b/>
        </w:rPr>
        <w:t>Untested method.</w:t>
      </w:r>
      <w:r>
        <w:t xml:space="preserve"> The commit rule, the central design element of Section 4, has not yet been evaluated.</w:t>
      </w:r>
    </w:p>
    <w:p w14:paraId="4A167A97" w14:textId="77777777" w:rsidR="00CC39A6" w:rsidRDefault="00F53363">
      <w:pPr>
        <w:pStyle w:val="Heading2"/>
      </w:pPr>
      <w:r>
        <w:t>8 Conclusion</w:t>
      </w:r>
    </w:p>
    <w:p w14:paraId="5B69D66F" w14:textId="77777777" w:rsidR="00CC39A6" w:rsidRDefault="00F53363">
      <w:r>
        <w:t xml:space="preserve">This paper asked under what conditions forecast-aware, churn-conscious traffic engineering can reduce modeled carbon emissions while respecting capacity and latency requirements. The preliminary answer is that, with current equipment, routing alone offers almost nothing to reduce. A perfect-foresight carbon-aware router saved 3.18% of modeled emissions on a proxy network when power was fully load-proportional, but only 0.13% and 0.05% when idle power made up 50% and 80% of device power. On measured Abilene </w:t>
      </w:r>
      <w:r>
        <w:t xml:space="preserve">traffic, no policy saved a measurable amount, and forecast-driven policies moved up to 2.2 times as much traffic per hour as shortest-hop routing. A closed-form ceiling (10) explains the </w:t>
      </w:r>
      <w:r>
        <w:lastRenderedPageBreak/>
        <w:t>result: the share of power that routing can influence is bounded by one minus the idle share and shrinks further at low utilisation, so routing cannot save more than a fraction of its load-proportional saving under realistic hardware.</w:t>
      </w:r>
    </w:p>
    <w:p w14:paraId="06544987" w14:textId="77777777" w:rsidR="00CC39A6" w:rsidRDefault="00F53363">
      <w:r>
        <w:t>The contribution of this work is therefore a bound and an explanation rather than a method that delivers large savings. Carbon-aware routing can still matter under power-proportional equipment, highly heterogeneous grids, or when combined with exact link and line-card deactivation, and a confidence-gated commit rule offers a way to avoid paying churn for savings that do not exist. Three steps are needed to complete the evidence: rerunning E1 and E2 on GÉANT and on the full Abilene period with the protocol o</w:t>
      </w:r>
      <w:r>
        <w:t>f Section 5, evaluating the commit rule, and replacing the consolidation heuristic with an exact deactivation model.</w:t>
      </w:r>
    </w:p>
    <w:p w14:paraId="6A95746A" w14:textId="77777777" w:rsidR="00CC39A6" w:rsidRDefault="00F53363">
      <w:pPr>
        <w:pStyle w:val="Heading2"/>
      </w:pPr>
      <w:r>
        <w:t>Claim-to-Evidence Map (author note)</w:t>
      </w:r>
    </w:p>
    <w:p w14:paraId="02A00571" w14:textId="77777777" w:rsidR="00CC39A6" w:rsidRDefault="00F53363">
      <w:r>
        <w:t>Every claim in the abstract and contributions list must trace to a row here before submission.</w:t>
      </w:r>
    </w:p>
    <w:tbl>
      <w:tblPr>
        <w:tblStyle w:val="TableGrid"/>
        <w:tblW w:w="0" w:type="auto"/>
        <w:tblLayout w:type="fixed"/>
        <w:tblLook w:val="0420" w:firstRow="1" w:lastRow="0" w:firstColumn="0" w:lastColumn="0" w:noHBand="0" w:noVBand="1"/>
      </w:tblPr>
      <w:tblGrid>
        <w:gridCol w:w="2340"/>
        <w:gridCol w:w="2340"/>
        <w:gridCol w:w="2340"/>
        <w:gridCol w:w="2340"/>
      </w:tblGrid>
      <w:tr w:rsidR="00CC39A6" w14:paraId="05CA5E86" w14:textId="77777777">
        <w:trPr>
          <w:tblHeader/>
        </w:trPr>
        <w:tc>
          <w:tcPr>
            <w:tcW w:w="2340" w:type="dxa"/>
            <w:shd w:val="clear" w:color="auto" w:fill="F2F2F2"/>
          </w:tcPr>
          <w:p w14:paraId="4FFD67FD" w14:textId="77777777" w:rsidR="00CC39A6" w:rsidRDefault="00F53363">
            <w:r>
              <w:t>Claim</w:t>
            </w:r>
          </w:p>
        </w:tc>
        <w:tc>
          <w:tcPr>
            <w:tcW w:w="2340" w:type="dxa"/>
            <w:shd w:val="clear" w:color="auto" w:fill="F2F2F2"/>
          </w:tcPr>
          <w:p w14:paraId="478B27A2" w14:textId="77777777" w:rsidR="00CC39A6" w:rsidRDefault="00F53363">
            <w:r>
              <w:t>Evidence required</w:t>
            </w:r>
          </w:p>
        </w:tc>
        <w:tc>
          <w:tcPr>
            <w:tcW w:w="2340" w:type="dxa"/>
            <w:shd w:val="clear" w:color="auto" w:fill="F2F2F2"/>
          </w:tcPr>
          <w:p w14:paraId="407C50B6" w14:textId="77777777" w:rsidR="00CC39A6" w:rsidRDefault="00F53363">
            <w:r>
              <w:t>Experiment</w:t>
            </w:r>
          </w:p>
        </w:tc>
        <w:tc>
          <w:tcPr>
            <w:tcW w:w="2340" w:type="dxa"/>
            <w:shd w:val="clear" w:color="auto" w:fill="F2F2F2"/>
          </w:tcPr>
          <w:p w14:paraId="7C312E4E" w14:textId="77777777" w:rsidR="00CC39A6" w:rsidRDefault="00F53363">
            <w:r>
              <w:t>Status after preliminary run</w:t>
            </w:r>
          </w:p>
        </w:tc>
      </w:tr>
      <w:tr w:rsidR="00CC39A6" w14:paraId="561B23A5" w14:textId="77777777">
        <w:tc>
          <w:tcPr>
            <w:tcW w:w="2340" w:type="dxa"/>
          </w:tcPr>
          <w:p w14:paraId="3F98FBA5" w14:textId="77777777" w:rsidR="00CC39A6" w:rsidRDefault="00F53363">
            <w:r>
              <w:t>Routing-only savings are negligible at realistic idle shares</w:t>
            </w:r>
          </w:p>
        </w:tc>
        <w:tc>
          <w:tcPr>
            <w:tcW w:w="2340" w:type="dxa"/>
          </w:tcPr>
          <w:p w14:paraId="6AFAAEEC" w14:textId="77777777" w:rsidR="00CC39A6" w:rsidRDefault="00F53363">
            <w:r>
              <w:t>(P1) vs reference across ρ, on GÉANT</w:t>
            </w:r>
          </w:p>
        </w:tc>
        <w:tc>
          <w:tcPr>
            <w:tcW w:w="2340" w:type="dxa"/>
          </w:tcPr>
          <w:p w14:paraId="2E15869A" w14:textId="77777777" w:rsidR="00CC39A6" w:rsidRDefault="00F53363">
            <w:r>
              <w:t>E1</w:t>
            </w:r>
          </w:p>
        </w:tc>
        <w:tc>
          <w:tcPr>
            <w:tcW w:w="2340" w:type="dxa"/>
          </w:tcPr>
          <w:p w14:paraId="0AD986F5" w14:textId="77777777" w:rsidR="00CC39A6" w:rsidRDefault="00F53363">
            <w:r>
              <w:rPr>
                <w:b/>
              </w:rPr>
              <w:t>Partially supported</w:t>
            </w:r>
            <w:r>
              <w:t xml:space="preserve"> — proxy network at ~4% utilisation; rerun on GÉANT</w:t>
            </w:r>
          </w:p>
        </w:tc>
      </w:tr>
      <w:tr w:rsidR="00CC39A6" w14:paraId="7C8AE3EF" w14:textId="77777777">
        <w:tc>
          <w:tcPr>
            <w:tcW w:w="2340" w:type="dxa"/>
          </w:tcPr>
          <w:p w14:paraId="6A334515" w14:textId="77777777" w:rsidR="00CC39A6" w:rsidRDefault="00F53363">
            <w:r>
              <w:t>The saving shrinks with idle share as (10) predicts</w:t>
            </w:r>
          </w:p>
        </w:tc>
        <w:tc>
          <w:tcPr>
            <w:tcW w:w="2340" w:type="dxa"/>
          </w:tcPr>
          <w:p w14:paraId="4BEE3628" w14:textId="77777777" w:rsidR="00CC39A6" w:rsidRDefault="00F53363">
            <w:r>
              <w:t>ρ sweep and implied ū</w:t>
            </w:r>
          </w:p>
        </w:tc>
        <w:tc>
          <w:tcPr>
            <w:tcW w:w="2340" w:type="dxa"/>
          </w:tcPr>
          <w:p w14:paraId="0CA07C38" w14:textId="77777777" w:rsidR="00CC39A6" w:rsidRDefault="00F53363">
            <w:r>
              <w:t>E1</w:t>
            </w:r>
          </w:p>
        </w:tc>
        <w:tc>
          <w:tcPr>
            <w:tcW w:w="2340" w:type="dxa"/>
          </w:tcPr>
          <w:p w14:paraId="03CA221A" w14:textId="77777777" w:rsidR="00CC39A6" w:rsidRDefault="00F53363">
            <w:r>
              <w:rPr>
                <w:b/>
              </w:rPr>
              <w:t>Supported</w:t>
            </w:r>
            <w:r>
              <w:t xml:space="preserve"> on the proxy data (predicted 0.13% / 0.03%, observed 0.13% / 0.05%)</w:t>
            </w:r>
          </w:p>
        </w:tc>
      </w:tr>
      <w:tr w:rsidR="00CC39A6" w14:paraId="21C6EE80" w14:textId="77777777">
        <w:tc>
          <w:tcPr>
            <w:tcW w:w="2340" w:type="dxa"/>
          </w:tcPr>
          <w:p w14:paraId="77573345" w14:textId="77777777" w:rsidR="00CC39A6" w:rsidRDefault="00F53363">
            <w:r>
              <w:t>Forecasts do not improve emissions</w:t>
            </w:r>
          </w:p>
        </w:tc>
        <w:tc>
          <w:tcPr>
            <w:tcW w:w="2340" w:type="dxa"/>
          </w:tcPr>
          <w:p w14:paraId="6756CA30" w14:textId="77777777" w:rsidR="00CC39A6" w:rsidRDefault="00F53363">
            <w:r>
              <w:t>Forecast-driven vs perfect foresight vs shortest-hop</w:t>
            </w:r>
          </w:p>
        </w:tc>
        <w:tc>
          <w:tcPr>
            <w:tcW w:w="2340" w:type="dxa"/>
          </w:tcPr>
          <w:p w14:paraId="0797717A" w14:textId="77777777" w:rsidR="00CC39A6" w:rsidRDefault="00F53363">
            <w:r>
              <w:t>E2</w:t>
            </w:r>
          </w:p>
        </w:tc>
        <w:tc>
          <w:tcPr>
            <w:tcW w:w="2340" w:type="dxa"/>
          </w:tcPr>
          <w:p w14:paraId="57E90739" w14:textId="77777777" w:rsidR="00CC39A6" w:rsidRDefault="00F53363">
            <w:r>
              <w:rPr>
                <w:b/>
              </w:rPr>
              <w:t>Partially supported</w:t>
            </w:r>
            <w:r>
              <w:t xml:space="preserve"> — one day, i.i.d. statistics, θ unreported</w:t>
            </w:r>
          </w:p>
        </w:tc>
      </w:tr>
      <w:tr w:rsidR="00CC39A6" w14:paraId="2202E0ED" w14:textId="77777777">
        <w:tc>
          <w:tcPr>
            <w:tcW w:w="2340" w:type="dxa"/>
          </w:tcPr>
          <w:p w14:paraId="67B86157" w14:textId="77777777" w:rsidR="00CC39A6" w:rsidRDefault="00F53363">
            <w:r>
              <w:t>Carbon-aware routing increases churn</w:t>
            </w:r>
          </w:p>
        </w:tc>
        <w:tc>
          <w:tcPr>
            <w:tcW w:w="2340" w:type="dxa"/>
          </w:tcPr>
          <w:p w14:paraId="277B3354" w14:textId="77777777" w:rsidR="00CC39A6" w:rsidRDefault="00F53363">
            <w:r>
              <w:t>Churn vs shortest-hop</w:t>
            </w:r>
          </w:p>
        </w:tc>
        <w:tc>
          <w:tcPr>
            <w:tcW w:w="2340" w:type="dxa"/>
          </w:tcPr>
          <w:p w14:paraId="3C6CE67F" w14:textId="77777777" w:rsidR="00CC39A6" w:rsidRDefault="00F53363">
            <w:r>
              <w:t>E2</w:t>
            </w:r>
          </w:p>
        </w:tc>
        <w:tc>
          <w:tcPr>
            <w:tcW w:w="2340" w:type="dxa"/>
          </w:tcPr>
          <w:p w14:paraId="38D36CD4" w14:textId="77777777" w:rsidR="00CC39A6" w:rsidRDefault="00F53363">
            <w:r>
              <w:rPr>
                <w:b/>
              </w:rPr>
              <w:t>Partially supported</w:t>
            </w:r>
            <w:r>
              <w:t xml:space="preserve"> — baseline churn of 6.59% must be explained</w:t>
            </w:r>
          </w:p>
        </w:tc>
      </w:tr>
      <w:tr w:rsidR="00CC39A6" w14:paraId="36EE912C" w14:textId="77777777">
        <w:tc>
          <w:tcPr>
            <w:tcW w:w="2340" w:type="dxa"/>
          </w:tcPr>
          <w:p w14:paraId="637BAAC1" w14:textId="77777777" w:rsidR="00CC39A6" w:rsidRDefault="00F53363">
            <w:r>
              <w:t>The commit rule reduces churn at no emission cost</w:t>
            </w:r>
          </w:p>
        </w:tc>
        <w:tc>
          <w:tcPr>
            <w:tcW w:w="2340" w:type="dxa"/>
          </w:tcPr>
          <w:p w14:paraId="1A5292F8" w14:textId="77777777" w:rsidR="00CC39A6" w:rsidRDefault="00F53363">
            <w:r>
              <w:t>EcoRouteAI vs point-rule and λ = 0 variants</w:t>
            </w:r>
          </w:p>
        </w:tc>
        <w:tc>
          <w:tcPr>
            <w:tcW w:w="2340" w:type="dxa"/>
          </w:tcPr>
          <w:p w14:paraId="6CDCFA4D" w14:textId="77777777" w:rsidR="00CC39A6" w:rsidRDefault="00F53363">
            <w:r>
              <w:t>E2, E4</w:t>
            </w:r>
          </w:p>
        </w:tc>
        <w:tc>
          <w:tcPr>
            <w:tcW w:w="2340" w:type="dxa"/>
          </w:tcPr>
          <w:p w14:paraId="747B3D60" w14:textId="77777777" w:rsidR="00CC39A6" w:rsidRDefault="00F53363">
            <w:r>
              <w:rPr>
                <w:b/>
              </w:rPr>
              <w:t>Not tested</w:t>
            </w:r>
          </w:p>
        </w:tc>
      </w:tr>
      <w:tr w:rsidR="00CC39A6" w14:paraId="4F01C475" w14:textId="77777777">
        <w:tc>
          <w:tcPr>
            <w:tcW w:w="2340" w:type="dxa"/>
          </w:tcPr>
          <w:p w14:paraId="79442437" w14:textId="77777777" w:rsidR="00CC39A6" w:rsidRDefault="00F53363">
            <w:r>
              <w:t>No capacity or latency violations</w:t>
            </w:r>
          </w:p>
        </w:tc>
        <w:tc>
          <w:tcPr>
            <w:tcW w:w="2340" w:type="dxa"/>
          </w:tcPr>
          <w:p w14:paraId="462E4D03" w14:textId="77777777" w:rsidR="00CC39A6" w:rsidRDefault="00F53363">
            <w:r>
              <w:t>Violation rate for constrained methods</w:t>
            </w:r>
          </w:p>
        </w:tc>
        <w:tc>
          <w:tcPr>
            <w:tcW w:w="2340" w:type="dxa"/>
          </w:tcPr>
          <w:p w14:paraId="794D4FD1" w14:textId="77777777" w:rsidR="00CC39A6" w:rsidRDefault="00F53363">
            <w:r>
              <w:t>E1, E2</w:t>
            </w:r>
          </w:p>
        </w:tc>
        <w:tc>
          <w:tcPr>
            <w:tcW w:w="2340" w:type="dxa"/>
          </w:tcPr>
          <w:p w14:paraId="25FBFC10" w14:textId="77777777" w:rsidR="00CC39A6" w:rsidRDefault="00F53363">
            <w:r>
              <w:rPr>
                <w:b/>
              </w:rPr>
              <w:t>Not reported</w:t>
            </w:r>
          </w:p>
        </w:tc>
      </w:tr>
      <w:tr w:rsidR="00CC39A6" w14:paraId="7FBD0B97" w14:textId="77777777">
        <w:tc>
          <w:tcPr>
            <w:tcW w:w="2340" w:type="dxa"/>
          </w:tcPr>
          <w:p w14:paraId="11DAA3C2" w14:textId="77777777" w:rsidR="00CC39A6" w:rsidRDefault="00F53363">
            <w:r>
              <w:t>Savings scale with grid heterogeneity</w:t>
            </w:r>
          </w:p>
        </w:tc>
        <w:tc>
          <w:tcPr>
            <w:tcW w:w="2340" w:type="dxa"/>
          </w:tcPr>
          <w:p w14:paraId="0BC9087F" w14:textId="77777777" w:rsidR="00CC39A6" w:rsidRDefault="00F53363">
            <w:r>
              <w:t>Spread sweep</w:t>
            </w:r>
          </w:p>
        </w:tc>
        <w:tc>
          <w:tcPr>
            <w:tcW w:w="2340" w:type="dxa"/>
          </w:tcPr>
          <w:p w14:paraId="3A579A66" w14:textId="77777777" w:rsidR="00CC39A6" w:rsidRDefault="00F53363">
            <w:r>
              <w:t>E3-C</w:t>
            </w:r>
          </w:p>
        </w:tc>
        <w:tc>
          <w:tcPr>
            <w:tcW w:w="2340" w:type="dxa"/>
          </w:tcPr>
          <w:p w14:paraId="4DCAFF9D" w14:textId="77777777" w:rsidR="00CC39A6" w:rsidRDefault="00F53363">
            <w:r>
              <w:rPr>
                <w:b/>
              </w:rPr>
              <w:t>Supported</w:t>
            </w:r>
            <w:r>
              <w:t xml:space="preserve"> in one synthetic setup</w:t>
            </w:r>
          </w:p>
        </w:tc>
      </w:tr>
      <w:tr w:rsidR="00CC39A6" w14:paraId="14E246F3" w14:textId="77777777">
        <w:tc>
          <w:tcPr>
            <w:tcW w:w="2340" w:type="dxa"/>
          </w:tcPr>
          <w:p w14:paraId="12728CBB" w14:textId="77777777" w:rsidR="00CC39A6" w:rsidRDefault="00F53363">
            <w:r>
              <w:lastRenderedPageBreak/>
              <w:t>Latency slack is not binding</w:t>
            </w:r>
          </w:p>
        </w:tc>
        <w:tc>
          <w:tcPr>
            <w:tcW w:w="2340" w:type="dxa"/>
          </w:tcPr>
          <w:p w14:paraId="4F8D9290" w14:textId="77777777" w:rsidR="00CC39A6" w:rsidRDefault="00F53363">
            <w:r>
              <w:t>Budget sweep</w:t>
            </w:r>
          </w:p>
        </w:tc>
        <w:tc>
          <w:tcPr>
            <w:tcW w:w="2340" w:type="dxa"/>
          </w:tcPr>
          <w:p w14:paraId="053C73BC" w14:textId="77777777" w:rsidR="00CC39A6" w:rsidRDefault="00F53363">
            <w:r>
              <w:t>E3-B</w:t>
            </w:r>
          </w:p>
        </w:tc>
        <w:tc>
          <w:tcPr>
            <w:tcW w:w="2340" w:type="dxa"/>
          </w:tcPr>
          <w:p w14:paraId="7B30A977" w14:textId="77777777" w:rsidR="00CC39A6" w:rsidRDefault="00F53363">
            <w:r>
              <w:rPr>
                <w:b/>
              </w:rPr>
              <w:t>Supported</w:t>
            </w:r>
            <w:r>
              <w:t xml:space="preserve"> in one setup</w:t>
            </w:r>
          </w:p>
        </w:tc>
      </w:tr>
      <w:tr w:rsidR="00CC39A6" w14:paraId="0421C5C1" w14:textId="77777777">
        <w:tc>
          <w:tcPr>
            <w:tcW w:w="2340" w:type="dxa"/>
          </w:tcPr>
          <w:p w14:paraId="47C8908C" w14:textId="77777777" w:rsidR="00CC39A6" w:rsidRDefault="00F53363">
            <w:r>
              <w:t>Coordinated sleeping can or cannot help</w:t>
            </w:r>
          </w:p>
        </w:tc>
        <w:tc>
          <w:tcPr>
            <w:tcW w:w="2340" w:type="dxa"/>
          </w:tcPr>
          <w:p w14:paraId="745E3481" w14:textId="77777777" w:rsidR="00CC39A6" w:rsidRDefault="00F53363">
            <w:r>
              <w:t>Exact deactivation model</w:t>
            </w:r>
          </w:p>
        </w:tc>
        <w:tc>
          <w:tcPr>
            <w:tcW w:w="2340" w:type="dxa"/>
          </w:tcPr>
          <w:p w14:paraId="5D113D69" w14:textId="77777777" w:rsidR="00CC39A6" w:rsidRDefault="00F53363">
            <w:r>
              <w:t>E3-A</w:t>
            </w:r>
          </w:p>
        </w:tc>
        <w:tc>
          <w:tcPr>
            <w:tcW w:w="2340" w:type="dxa"/>
          </w:tcPr>
          <w:p w14:paraId="796DCB6B" w14:textId="77777777" w:rsidR="00CC39A6" w:rsidRDefault="00F53363">
            <w:r>
              <w:rPr>
                <w:b/>
              </w:rPr>
              <w:t>Not tested</w:t>
            </w:r>
            <w:r>
              <w:t xml:space="preserve"> — heuristic only, which underperformed its own baseline</w:t>
            </w:r>
          </w:p>
        </w:tc>
      </w:tr>
      <w:tr w:rsidR="00CC39A6" w14:paraId="0B180880" w14:textId="77777777">
        <w:tc>
          <w:tcPr>
            <w:tcW w:w="2340" w:type="dxa"/>
          </w:tcPr>
          <w:p w14:paraId="1EAC3696" w14:textId="77777777" w:rsidR="00CC39A6" w:rsidRDefault="00F53363">
            <w:r>
              <w:t>Results generalise across networks</w:t>
            </w:r>
          </w:p>
        </w:tc>
        <w:tc>
          <w:tcPr>
            <w:tcW w:w="2340" w:type="dxa"/>
          </w:tcPr>
          <w:p w14:paraId="4FB6D82E" w14:textId="77777777" w:rsidR="00CC39A6" w:rsidRDefault="00F53363">
            <w:r>
              <w:t>GÉANT and Abilene, same protocol</w:t>
            </w:r>
          </w:p>
        </w:tc>
        <w:tc>
          <w:tcPr>
            <w:tcW w:w="2340" w:type="dxa"/>
          </w:tcPr>
          <w:p w14:paraId="349045B0" w14:textId="77777777" w:rsidR="00CC39A6" w:rsidRDefault="00F53363">
            <w:r>
              <w:t>E3</w:t>
            </w:r>
          </w:p>
        </w:tc>
        <w:tc>
          <w:tcPr>
            <w:tcW w:w="2340" w:type="dxa"/>
          </w:tcPr>
          <w:p w14:paraId="1DCE36C6" w14:textId="77777777" w:rsidR="00CC39A6" w:rsidRDefault="00F53363">
            <w:r>
              <w:rPr>
                <w:b/>
              </w:rPr>
              <w:t>Not tested</w:t>
            </w:r>
          </w:p>
        </w:tc>
      </w:tr>
      <w:tr w:rsidR="00CC39A6" w14:paraId="40789C84" w14:textId="77777777">
        <w:tc>
          <w:tcPr>
            <w:tcW w:w="2340" w:type="dxa"/>
          </w:tcPr>
          <w:p w14:paraId="340ABD50" w14:textId="77777777" w:rsidR="00CC39A6" w:rsidRDefault="00F53363">
            <w:r>
              <w:t>Method is computationally practical</w:t>
            </w:r>
          </w:p>
        </w:tc>
        <w:tc>
          <w:tcPr>
            <w:tcW w:w="2340" w:type="dxa"/>
          </w:tcPr>
          <w:p w14:paraId="1B0D835A" w14:textId="77777777" w:rsidR="00CC39A6" w:rsidRDefault="00F53363">
            <w:r>
              <w:t>Solve time</w:t>
            </w:r>
          </w:p>
        </w:tc>
        <w:tc>
          <w:tcPr>
            <w:tcW w:w="2340" w:type="dxa"/>
          </w:tcPr>
          <w:p w14:paraId="7074CCA3" w14:textId="77777777" w:rsidR="00CC39A6" w:rsidRDefault="00F53363">
            <w:r>
              <w:t>E2</w:t>
            </w:r>
          </w:p>
        </w:tc>
        <w:tc>
          <w:tcPr>
            <w:tcW w:w="2340" w:type="dxa"/>
          </w:tcPr>
          <w:p w14:paraId="4BDB8B37" w14:textId="77777777" w:rsidR="00CC39A6" w:rsidRDefault="00F53363">
            <w:r>
              <w:rPr>
                <w:b/>
              </w:rPr>
              <w:t>Supported</w:t>
            </w:r>
            <w:r>
              <w:t xml:space="preserve"> for Abilene (79–85 ms per decision)</w:t>
            </w:r>
          </w:p>
        </w:tc>
      </w:tr>
      <w:tr w:rsidR="00CC39A6" w14:paraId="5D201433" w14:textId="77777777">
        <w:tc>
          <w:tcPr>
            <w:tcW w:w="2340" w:type="dxa"/>
          </w:tcPr>
          <w:p w14:paraId="6E193E21" w14:textId="77777777" w:rsidR="00CC39A6" w:rsidRDefault="00F53363">
            <w:r>
              <w:t>Prior work lacks the combination in Table 1</w:t>
            </w:r>
          </w:p>
        </w:tc>
        <w:tc>
          <w:tcPr>
            <w:tcW w:w="2340" w:type="dxa"/>
          </w:tcPr>
          <w:p w14:paraId="59717172" w14:textId="77777777" w:rsidR="00CC39A6" w:rsidRDefault="00F53363">
            <w:r>
              <w:t>Literature search (Section 2)</w:t>
            </w:r>
          </w:p>
        </w:tc>
        <w:tc>
          <w:tcPr>
            <w:tcW w:w="2340" w:type="dxa"/>
          </w:tcPr>
          <w:p w14:paraId="701A0D2F" w14:textId="77777777" w:rsidR="00CC39A6" w:rsidRDefault="00F53363">
            <w:r>
              <w:t>—</w:t>
            </w:r>
          </w:p>
        </w:tc>
        <w:tc>
          <w:tcPr>
            <w:tcW w:w="2340" w:type="dxa"/>
          </w:tcPr>
          <w:p w14:paraId="3278BE0F" w14:textId="77777777" w:rsidR="00CC39A6" w:rsidRDefault="00F53363">
            <w:r>
              <w:t>Supported for papers reviewed; widen search before submission</w:t>
            </w:r>
          </w:p>
        </w:tc>
      </w:tr>
    </w:tbl>
    <w:p w14:paraId="32B3BEB2" w14:textId="77777777" w:rsidR="00CC39A6" w:rsidRDefault="00F53363">
      <w:pPr>
        <w:pStyle w:val="Heading2"/>
      </w:pPr>
      <w:r>
        <w:t>References</w:t>
      </w:r>
    </w:p>
    <w:p w14:paraId="34A78829" w14:textId="77777777" w:rsidR="00CC39A6" w:rsidRDefault="00F53363">
      <w:pPr>
        <w:pStyle w:val="ListParagraph"/>
        <w:numPr>
          <w:ilvl w:val="0"/>
          <w:numId w:val="7"/>
        </w:numPr>
      </w:pPr>
      <w:r>
        <w:t xml:space="preserve">A. P. Bianzino, C. Chaudet, D. Rossi, and J.-L. Rougier, "A survey of green networking research," </w:t>
      </w:r>
      <w:r>
        <w:rPr>
          <w:i/>
        </w:rPr>
        <w:t>IEEE Commun. Surveys Tuts.</w:t>
      </w:r>
      <w:r>
        <w:t>, vol. 14, no. 1, pp. 3–20, 2012, doi: 10.1109/SURV.2011.113010.00106.</w:t>
      </w:r>
    </w:p>
    <w:p w14:paraId="1A1F4A0A" w14:textId="77777777" w:rsidR="00CC39A6" w:rsidRDefault="00F53363">
      <w:pPr>
        <w:pStyle w:val="ListParagraph"/>
        <w:numPr>
          <w:ilvl w:val="0"/>
          <w:numId w:val="7"/>
        </w:numPr>
      </w:pPr>
      <w:r>
        <w:t xml:space="preserve">J. Chabarek, J. Sommers, P. Barford, C. Estan, D. Tsiang, and S. Wright, "Power awareness in network design and routing," in </w:t>
      </w:r>
      <w:r>
        <w:rPr>
          <w:i/>
        </w:rPr>
        <w:t>Proc. IEEE INFOCOM</w:t>
      </w:r>
      <w:r>
        <w:t>, Apr. 2008.</w:t>
      </w:r>
    </w:p>
    <w:p w14:paraId="3D681D80" w14:textId="77777777" w:rsidR="00CC39A6" w:rsidRDefault="00F53363">
      <w:pPr>
        <w:pStyle w:val="ListParagraph"/>
        <w:numPr>
          <w:ilvl w:val="0"/>
          <w:numId w:val="7"/>
        </w:numPr>
      </w:pPr>
      <w:r>
        <w:t xml:space="preserve">B. Fortz and M. Thorup, "Internet traffic engineering by optimizing OSPF weights," in </w:t>
      </w:r>
      <w:r>
        <w:rPr>
          <w:i/>
        </w:rPr>
        <w:t>Proc. IEEE INFOCOM</w:t>
      </w:r>
      <w:r>
        <w:t>, 2000, pp. 519–528.</w:t>
      </w:r>
    </w:p>
    <w:p w14:paraId="5E40965C" w14:textId="77777777" w:rsidR="00CC39A6" w:rsidRDefault="00F53363">
      <w:pPr>
        <w:pStyle w:val="ListParagraph"/>
        <w:numPr>
          <w:ilvl w:val="0"/>
          <w:numId w:val="7"/>
        </w:numPr>
      </w:pPr>
      <w:r>
        <w:t xml:space="preserve">S. Jain </w:t>
      </w:r>
      <w:r>
        <w:rPr>
          <w:i/>
        </w:rPr>
        <w:t>et al.</w:t>
      </w:r>
      <w:r>
        <w:t xml:space="preserve">, "B4: Experience with a globally-deployed software defined WAN," in </w:t>
      </w:r>
      <w:r>
        <w:rPr>
          <w:i/>
        </w:rPr>
        <w:t>Proc. ACM SIGCOMM</w:t>
      </w:r>
      <w:r>
        <w:t>, 2013.</w:t>
      </w:r>
    </w:p>
    <w:p w14:paraId="6ED51F9C" w14:textId="77777777" w:rsidR="00CC39A6" w:rsidRDefault="00F53363">
      <w:pPr>
        <w:pStyle w:val="ListParagraph"/>
        <w:numPr>
          <w:ilvl w:val="0"/>
          <w:numId w:val="7"/>
        </w:numPr>
      </w:pPr>
      <w:r>
        <w:t xml:space="preserve">C.-Y. Hong </w:t>
      </w:r>
      <w:r>
        <w:rPr>
          <w:i/>
        </w:rPr>
        <w:t>et al.</w:t>
      </w:r>
      <w:r>
        <w:t xml:space="preserve">, "Achieving high utilization with software-driven WAN," in </w:t>
      </w:r>
      <w:r>
        <w:rPr>
          <w:i/>
        </w:rPr>
        <w:t>Proc. ACM SIGCOMM</w:t>
      </w:r>
      <w:r>
        <w:t>, 2013.</w:t>
      </w:r>
    </w:p>
    <w:p w14:paraId="012A9BDC" w14:textId="77777777" w:rsidR="00CC39A6" w:rsidRDefault="00F53363">
      <w:pPr>
        <w:pStyle w:val="ListParagraph"/>
        <w:numPr>
          <w:ilvl w:val="0"/>
          <w:numId w:val="7"/>
        </w:numPr>
      </w:pPr>
      <w:r>
        <w:t xml:space="preserve">S. El-Zahr, P. Gunning, and N. Zilberman, "Exploring the benefits of carbon-aware routing," </w:t>
      </w:r>
      <w:r>
        <w:rPr>
          <w:i/>
        </w:rPr>
        <w:t>Proc. ACM Netw.</w:t>
      </w:r>
      <w:r>
        <w:t>, vol. 1, no. CoNEXT3, Art. no. 20, 2023, doi: 10.1145/3629165.</w:t>
      </w:r>
    </w:p>
    <w:p w14:paraId="5AAA07E2" w14:textId="77777777" w:rsidR="00CC39A6" w:rsidRDefault="00F53363">
      <w:pPr>
        <w:pStyle w:val="ListParagraph"/>
        <w:numPr>
          <w:ilvl w:val="0"/>
          <w:numId w:val="7"/>
        </w:numPr>
      </w:pPr>
      <w:r>
        <w:t>S. Tabaeiaghdaei, S. Scherrer, J. Kwon, and A. Perrig, "Carbon-intelligent global routing in path-aware networks," arXiv:2211.00347, 2023.</w:t>
      </w:r>
    </w:p>
    <w:p w14:paraId="47FD5573" w14:textId="77777777" w:rsidR="00CC39A6" w:rsidRDefault="00F53363">
      <w:pPr>
        <w:pStyle w:val="ListParagraph"/>
        <w:numPr>
          <w:ilvl w:val="0"/>
          <w:numId w:val="7"/>
        </w:numPr>
      </w:pPr>
      <w:r>
        <w:t xml:space="preserve">A. Samanta, Y. Jiang, R. Stutsman, and R. B. Roy, "Not just fast, but also sustainable: Rethinking network routing," in </w:t>
      </w:r>
      <w:r>
        <w:rPr>
          <w:i/>
        </w:rPr>
        <w:t>Proc. MAIoT Workshop, ACM/IFIP Middleware</w:t>
      </w:r>
      <w:r>
        <w:t>, Dec. 2025.</w:t>
      </w:r>
    </w:p>
    <w:p w14:paraId="5CC3F4BE" w14:textId="77777777" w:rsidR="00CC39A6" w:rsidRDefault="00F53363">
      <w:pPr>
        <w:pStyle w:val="ListParagraph"/>
        <w:numPr>
          <w:ilvl w:val="0"/>
          <w:numId w:val="7"/>
        </w:numPr>
      </w:pPr>
      <w:r>
        <w:t xml:space="preserve">N. Schmitz, D. Savostianova, L. Niggemeier, M. Strauch, and P. Boor, "Pathways to sustainability: Carbon-aware routing for global AI data transfers," in </w:t>
      </w:r>
      <w:r>
        <w:rPr>
          <w:i/>
        </w:rPr>
        <w:t>NeurIPS Workshop on Tackling Climate Change with Machine Learning</w:t>
      </w:r>
      <w:r>
        <w:t>, Dec. 2025.</w:t>
      </w:r>
    </w:p>
    <w:p w14:paraId="6491004D" w14:textId="77777777" w:rsidR="00CC39A6" w:rsidRDefault="00F53363">
      <w:pPr>
        <w:pStyle w:val="ListParagraph"/>
        <w:numPr>
          <w:ilvl w:val="0"/>
          <w:numId w:val="7"/>
        </w:numPr>
      </w:pPr>
      <w:r>
        <w:t xml:space="preserve">M. Zhang, C. Yi, B. Liu, and B. Zhang, "GreenTE: Power-aware traffic engineering," in </w:t>
      </w:r>
      <w:r>
        <w:rPr>
          <w:i/>
        </w:rPr>
        <w:t>Proc. IEEE ICNP</w:t>
      </w:r>
      <w:r>
        <w:t>, 2010.</w:t>
      </w:r>
    </w:p>
    <w:p w14:paraId="29C57DAA" w14:textId="77777777" w:rsidR="00CC39A6" w:rsidRDefault="00F53363">
      <w:pPr>
        <w:pStyle w:val="ListParagraph"/>
        <w:numPr>
          <w:ilvl w:val="0"/>
          <w:numId w:val="7"/>
        </w:numPr>
      </w:pPr>
      <w:r>
        <w:lastRenderedPageBreak/>
        <w:t xml:space="preserve">B. Heller, S. Seetharaman, P. Mahadevan, Y. Yiakoumis, P. Sharma, S. Banerjee, and N. McKeown, "ElasticTree: Saving energy in data center networks," in </w:t>
      </w:r>
      <w:r>
        <w:rPr>
          <w:i/>
        </w:rPr>
        <w:t>Proc. USENIX NSDI</w:t>
      </w:r>
      <w:r>
        <w:t>, 2010.</w:t>
      </w:r>
    </w:p>
    <w:p w14:paraId="1872A79F" w14:textId="77777777" w:rsidR="00CC39A6" w:rsidRDefault="00F53363">
      <w:pPr>
        <w:pStyle w:val="ListParagraph"/>
        <w:numPr>
          <w:ilvl w:val="0"/>
          <w:numId w:val="7"/>
        </w:numPr>
      </w:pPr>
      <w:r>
        <w:t xml:space="preserve">N. Vasić and D. Kostić, "Energy-aware traffic engineering," in </w:t>
      </w:r>
      <w:r>
        <w:rPr>
          <w:i/>
        </w:rPr>
        <w:t>Proc. ACM e-Energy</w:t>
      </w:r>
      <w:r>
        <w:t>, 2010.</w:t>
      </w:r>
    </w:p>
    <w:p w14:paraId="01952F78" w14:textId="77777777" w:rsidR="00CC39A6" w:rsidRDefault="00F53363">
      <w:pPr>
        <w:pStyle w:val="ListParagraph"/>
        <w:numPr>
          <w:ilvl w:val="0"/>
          <w:numId w:val="7"/>
        </w:numPr>
      </w:pPr>
      <w:r>
        <w:t>D. Otten, M. Ilsen, M. Chimani, and N. Aschenbruck, "Green traffic engineering by line card minimization," arXiv:2306.00726, 2023.</w:t>
      </w:r>
    </w:p>
    <w:p w14:paraId="534AC49E" w14:textId="77777777" w:rsidR="00CC39A6" w:rsidRDefault="00F53363">
      <w:pPr>
        <w:pStyle w:val="ListParagraph"/>
        <w:numPr>
          <w:ilvl w:val="0"/>
          <w:numId w:val="7"/>
        </w:numPr>
      </w:pPr>
      <w:r>
        <w:t>D. Otten, A. Brundiers, T. Schüller, and N. Aschenbruck, "Green segment routing for improved sustainability of backbone networks," arXiv:2306.00681, 2023.</w:t>
      </w:r>
    </w:p>
    <w:p w14:paraId="7665B9D0" w14:textId="77777777" w:rsidR="00CC39A6" w:rsidRDefault="00F53363">
      <w:pPr>
        <w:pStyle w:val="ListParagraph"/>
        <w:numPr>
          <w:ilvl w:val="0"/>
          <w:numId w:val="7"/>
        </w:numPr>
      </w:pPr>
      <w:r>
        <w:t>M. Ilsen, D. Otten, N. Aschenbruck, and M. Chimani, "No traffic to cry: Traffic-oblivious link deactivation for green traffic engineering," arXiv:2601.13087, 2026.</w:t>
      </w:r>
    </w:p>
    <w:p w14:paraId="379652C1" w14:textId="77777777" w:rsidR="00CC39A6" w:rsidRDefault="00F53363">
      <w:pPr>
        <w:pStyle w:val="ListParagraph"/>
        <w:numPr>
          <w:ilvl w:val="0"/>
          <w:numId w:val="7"/>
        </w:numPr>
      </w:pPr>
      <w:r>
        <w:t xml:space="preserve">D. Maji, P. Shenoy, and R. K. Sitaraman, "CarbonCast: Multi-day forecasting of grid carbon intensity," in </w:t>
      </w:r>
      <w:r>
        <w:rPr>
          <w:i/>
        </w:rPr>
        <w:t>Proc. ACM BuildSys</w:t>
      </w:r>
      <w:r>
        <w:t>, 2022.</w:t>
      </w:r>
    </w:p>
    <w:p w14:paraId="1CF18910" w14:textId="77777777" w:rsidR="00CC39A6" w:rsidRDefault="00F53363">
      <w:pPr>
        <w:pStyle w:val="ListParagraph"/>
        <w:numPr>
          <w:ilvl w:val="0"/>
          <w:numId w:val="7"/>
        </w:numPr>
      </w:pPr>
      <w:r>
        <w:t xml:space="preserve">P. Wiesner, I. Behnke, D. Scheinert, K. Gontarska, and L. Thamsen, "Let's wait awhile: How temporal workload shifting can reduce carbon emissions in the cloud," in </w:t>
      </w:r>
      <w:r>
        <w:rPr>
          <w:i/>
        </w:rPr>
        <w:t>Proc. 22nd Int. Middleware Conf.</w:t>
      </w:r>
      <w:r>
        <w:t>, 2021, doi: 10.1145/3464298.3493399.</w:t>
      </w:r>
    </w:p>
    <w:p w14:paraId="7923E135" w14:textId="77777777" w:rsidR="00CC39A6" w:rsidRDefault="00F53363">
      <w:pPr>
        <w:pStyle w:val="ListParagraph"/>
        <w:numPr>
          <w:ilvl w:val="0"/>
          <w:numId w:val="7"/>
        </w:numPr>
      </w:pPr>
      <w:r>
        <w:t xml:space="preserve">A. Radovanović </w:t>
      </w:r>
      <w:r>
        <w:rPr>
          <w:i/>
        </w:rPr>
        <w:t>et al.</w:t>
      </w:r>
      <w:r>
        <w:t>, "Carbon-aware computing for datacenters," arXiv:2106.11750, 2021.</w:t>
      </w:r>
    </w:p>
    <w:p w14:paraId="7083A982" w14:textId="77777777" w:rsidR="00CC39A6" w:rsidRDefault="00F53363">
      <w:pPr>
        <w:pStyle w:val="ListParagraph"/>
        <w:numPr>
          <w:ilvl w:val="0"/>
          <w:numId w:val="7"/>
        </w:numPr>
      </w:pPr>
      <w:r>
        <w:t xml:space="preserve">T. Sukprasert, A. Souza, N. Bashir, D. Irwin, and P. Shenoy, "On the limitations of carbon-aware temporal and spatial workload shifting in the cloud," in </w:t>
      </w:r>
      <w:r>
        <w:rPr>
          <w:i/>
        </w:rPr>
        <w:t>Proc. EuroSys</w:t>
      </w:r>
      <w:r>
        <w:t>, 2024, doi: 10.1145/3627703.3650079.</w:t>
      </w:r>
    </w:p>
    <w:p w14:paraId="060AD8CA" w14:textId="77777777" w:rsidR="00CC39A6" w:rsidRDefault="00F53363">
      <w:pPr>
        <w:pStyle w:val="ListParagraph"/>
        <w:numPr>
          <w:ilvl w:val="0"/>
          <w:numId w:val="7"/>
        </w:numPr>
      </w:pPr>
      <w:r>
        <w:t xml:space="preserve">S. Kandula, D. Katabi, B. Davie, and A. Charny, "Walking the tightrope: Responsive yet stable traffic engineering," in </w:t>
      </w:r>
      <w:r>
        <w:rPr>
          <w:i/>
        </w:rPr>
        <w:t>Proc. ACM SIGCOMM</w:t>
      </w:r>
      <w:r>
        <w:t>, 2005.</w:t>
      </w:r>
    </w:p>
    <w:p w14:paraId="692B7AE6" w14:textId="77777777" w:rsidR="00CC39A6" w:rsidRDefault="00F53363">
      <w:pPr>
        <w:pStyle w:val="ListParagraph"/>
        <w:numPr>
          <w:ilvl w:val="0"/>
          <w:numId w:val="7"/>
        </w:numPr>
      </w:pPr>
      <w:r>
        <w:t xml:space="preserve">X. Jin, H. H. Liu, R. Gandhi, S. Kandula, R. Mahajan, M. Zhang, J. Rexford, and R. Wattenhofer, "Dynamic scheduling of network updates," in </w:t>
      </w:r>
      <w:r>
        <w:rPr>
          <w:i/>
        </w:rPr>
        <w:t>Proc. ACM SIGCOMM</w:t>
      </w:r>
      <w:r>
        <w:t>, 2014, pp. 539–550, doi: 10.1145/2619239.2626307.</w:t>
      </w:r>
    </w:p>
    <w:p w14:paraId="4416A844" w14:textId="77777777" w:rsidR="00CC39A6" w:rsidRDefault="00F53363">
      <w:pPr>
        <w:pStyle w:val="ListParagraph"/>
        <w:numPr>
          <w:ilvl w:val="0"/>
          <w:numId w:val="7"/>
        </w:numPr>
      </w:pPr>
      <w:r>
        <w:t>C. Villamizar, R. Chandra, and R. Govindan, "BGP route flap damping," IETF RFC 2439, Nov. 1998.</w:t>
      </w:r>
    </w:p>
    <w:p w14:paraId="344202F5" w14:textId="77777777" w:rsidR="00CC39A6" w:rsidRDefault="00F53363">
      <w:pPr>
        <w:pStyle w:val="ListParagraph"/>
        <w:numPr>
          <w:ilvl w:val="0"/>
          <w:numId w:val="7"/>
        </w:numPr>
      </w:pPr>
      <w:r>
        <w:t xml:space="preserve">S. Uhlig, B. Quoitin, S. Balon, and J. Lepropre, "Providing public intradomain traffic matrices to the research community," </w:t>
      </w:r>
      <w:r>
        <w:rPr>
          <w:i/>
        </w:rPr>
        <w:t>ACM SIGCOMM Comput. Commun. Rev.</w:t>
      </w:r>
      <w:r>
        <w:t>, vol. 36, no. 1, 2006.</w:t>
      </w:r>
    </w:p>
    <w:p w14:paraId="63784B11" w14:textId="77777777" w:rsidR="00CC39A6" w:rsidRDefault="00F53363">
      <w:pPr>
        <w:pStyle w:val="ListParagraph"/>
        <w:numPr>
          <w:ilvl w:val="0"/>
          <w:numId w:val="7"/>
        </w:numPr>
      </w:pPr>
      <w:r>
        <w:t>Y. Zhang, "Abilene traffic matrices," dataset. [Online]. Available: https://www.cs.utexas.edu/~yzhang/research/AbileneTM/</w:t>
      </w:r>
    </w:p>
    <w:p w14:paraId="18E4B1C1" w14:textId="77777777" w:rsidR="00CC39A6" w:rsidRDefault="00F53363">
      <w:pPr>
        <w:pStyle w:val="ListParagraph"/>
        <w:numPr>
          <w:ilvl w:val="0"/>
          <w:numId w:val="7"/>
        </w:numPr>
      </w:pPr>
      <w:r>
        <w:t xml:space="preserve">S. Orlowski, R. Wessäly, M. Pióro, and A. Tomaszewski, "SNDlib 1.0—Survivable network design library," </w:t>
      </w:r>
      <w:r>
        <w:rPr>
          <w:i/>
        </w:rPr>
        <w:t>Networks</w:t>
      </w:r>
      <w:r>
        <w:t>, vol. 55, no. 3, pp. 276–286, 2010, doi: 10.1002/net.20371. Data: https://sndlib.put.poznan.pl</w:t>
      </w:r>
    </w:p>
    <w:p w14:paraId="18840624" w14:textId="77777777" w:rsidR="00CC39A6" w:rsidRDefault="00F53363">
      <w:pPr>
        <w:pStyle w:val="ListParagraph"/>
        <w:numPr>
          <w:ilvl w:val="0"/>
          <w:numId w:val="7"/>
        </w:numPr>
      </w:pPr>
      <w:r>
        <w:t>ENTSO-E, "Transparency Platform." [Online]. Available: https://transparency.entsoe.eu/</w:t>
      </w:r>
    </w:p>
    <w:p w14:paraId="1BEC626E" w14:textId="77777777" w:rsidR="00CC39A6" w:rsidRDefault="00F53363">
      <w:pPr>
        <w:pStyle w:val="ListParagraph"/>
        <w:numPr>
          <w:ilvl w:val="0"/>
          <w:numId w:val="7"/>
        </w:numPr>
      </w:pPr>
      <w:r>
        <w:t>Electricity Maps, "Data portal." [Online]. Available: https://electricitymap.org/get-our-data</w:t>
      </w:r>
    </w:p>
    <w:p w14:paraId="5688D726" w14:textId="77777777" w:rsidR="00CC39A6" w:rsidRDefault="00F53363">
      <w:pPr>
        <w:pStyle w:val="ListParagraph"/>
        <w:numPr>
          <w:ilvl w:val="0"/>
          <w:numId w:val="7"/>
        </w:numPr>
      </w:pPr>
      <w:r>
        <w:t>U.S. Energy Information Administration, "About the EIA-930 data." [Online]. Available: https://www.eia.gov/electricity/930-content/about.html</w:t>
      </w:r>
    </w:p>
    <w:p w14:paraId="5AB2A7B1" w14:textId="77777777" w:rsidR="00CC39A6" w:rsidRDefault="00F53363">
      <w:pPr>
        <w:pStyle w:val="ListParagraph"/>
        <w:numPr>
          <w:ilvl w:val="0"/>
          <w:numId w:val="7"/>
        </w:numPr>
      </w:pPr>
      <w:r>
        <w:t xml:space="preserve">W. Van Heddeghem, F. Idzikowski, W. Vereecken, D. Colle, M. Pickavet, and P. Demeester, "Power consumption modeling in optical multilayer networks," </w:t>
      </w:r>
      <w:r>
        <w:rPr>
          <w:i/>
        </w:rPr>
        <w:t>Photonic Netw. Commun.</w:t>
      </w:r>
      <w:r>
        <w:t>, vol. 24, no. 2, pp. 86–102, 2012, doi: 10.1007/s11107-011-0370-7.</w:t>
      </w:r>
    </w:p>
    <w:p w14:paraId="12D817CE" w14:textId="77777777" w:rsidR="00CC39A6" w:rsidRDefault="00F53363">
      <w:pPr>
        <w:pStyle w:val="ListParagraph"/>
        <w:numPr>
          <w:ilvl w:val="0"/>
          <w:numId w:val="7"/>
        </w:numPr>
      </w:pPr>
      <w:r>
        <w:t xml:space="preserve">D. S. Callaway, M. Fowlie, and G. McCormick, "Location, location, location: The variable value of renewable energy and demand-side efficiency resources," </w:t>
      </w:r>
      <w:r>
        <w:rPr>
          <w:i/>
        </w:rPr>
        <w:t>J. Assoc. Environ. Resour. Econ.</w:t>
      </w:r>
      <w:r>
        <w:t>, vol. 5, no. 1, pp. 39–75, 2018, doi: 10.1086/694179.</w:t>
      </w:r>
    </w:p>
    <w:p w14:paraId="0715FFE6" w14:textId="77777777" w:rsidR="00CC39A6" w:rsidRDefault="00F53363">
      <w:pPr>
        <w:pStyle w:val="ListParagraph"/>
        <w:numPr>
          <w:ilvl w:val="0"/>
          <w:numId w:val="7"/>
        </w:numPr>
      </w:pPr>
      <w:r>
        <w:t>A. Bernhard and A. B. Yardimci, "Routing LLM inference to the cleanest grid in real time," arXiv:2608.06188, 2026.</w:t>
      </w:r>
    </w:p>
    <w:p w14:paraId="7206C7A9" w14:textId="77777777" w:rsidR="00CC39A6" w:rsidRDefault="00F53363">
      <w:pPr>
        <w:pStyle w:val="ListParagraph"/>
        <w:numPr>
          <w:ilvl w:val="0"/>
          <w:numId w:val="7"/>
        </w:numPr>
      </w:pPr>
      <w:r>
        <w:lastRenderedPageBreak/>
        <w:t xml:space="preserve">R. J. Hyndman and G. Athanasopoulos, </w:t>
      </w:r>
      <w:r>
        <w:rPr>
          <w:i/>
        </w:rPr>
        <w:t>Forecasting: Principles and Practice</w:t>
      </w:r>
      <w:r>
        <w:t>, 3rd ed. Melbourne, Australia: OTexts, 2021. [Online]. Available: https://otexts.com/fpp3/</w:t>
      </w:r>
    </w:p>
    <w:p w14:paraId="09268593" w14:textId="77777777" w:rsidR="00CC39A6" w:rsidRDefault="00F53363">
      <w:pPr>
        <w:pStyle w:val="ListParagraph"/>
        <w:numPr>
          <w:ilvl w:val="0"/>
          <w:numId w:val="7"/>
        </w:numPr>
      </w:pPr>
      <w:r>
        <w:t xml:space="preserve">H. Wang, H. Xie, L. Qiu, Y. R. Yang, Y. Zhang, and A. Greenberg, "COPE: Traffic engineering in dynamic networks," in </w:t>
      </w:r>
      <w:r>
        <w:rPr>
          <w:i/>
        </w:rPr>
        <w:t>Proc. ACM SIGCOMM</w:t>
      </w:r>
      <w:r>
        <w:t>, 2006.</w:t>
      </w:r>
    </w:p>
    <w:p w14:paraId="25DF1087" w14:textId="77777777" w:rsidR="00CC39A6" w:rsidRDefault="00F53363">
      <w:pPr>
        <w:pStyle w:val="ListParagraph"/>
        <w:numPr>
          <w:ilvl w:val="0"/>
          <w:numId w:val="7"/>
        </w:numPr>
      </w:pPr>
      <w:r>
        <w:t>S. Gay, P. Schaus, and S. Vissicchio, "REPETITA: Repeatable experiments for performance evaluation of traffic-engineering algorithms," arXiv:1710.08665, 2017.</w:t>
      </w:r>
    </w:p>
    <w:p w14:paraId="7989C064" w14:textId="77777777" w:rsidR="00CC39A6" w:rsidRDefault="00F53363">
      <w:pPr>
        <w:pStyle w:val="ListParagraph"/>
        <w:numPr>
          <w:ilvl w:val="0"/>
          <w:numId w:val="7"/>
        </w:numPr>
      </w:pPr>
      <w:r>
        <w:t>The Internet Topology Zoo. [Online]. Available: https://topology-zoo.org/dataset.html</w:t>
      </w:r>
    </w:p>
    <w:p w14:paraId="34A6A2C2" w14:textId="77777777" w:rsidR="00CC39A6" w:rsidRDefault="00F53363">
      <w:pPr>
        <w:pStyle w:val="ListParagraph"/>
        <w:numPr>
          <w:ilvl w:val="0"/>
          <w:numId w:val="7"/>
        </w:numPr>
      </w:pPr>
      <w:r>
        <w:t xml:space="preserve">H. R. Künsch, "The jackknife and the bootstrap for general stationary observations," </w:t>
      </w:r>
      <w:r>
        <w:rPr>
          <w:i/>
        </w:rPr>
        <w:t>Ann. Statist.</w:t>
      </w:r>
      <w:r>
        <w:t>, vol. 17, no. 3, pp. 1217–1241, 1989, doi: 10.1214/aos/1176347265.</w:t>
      </w:r>
    </w:p>
    <w:p w14:paraId="77BEABA3" w14:textId="77777777" w:rsidR="00CC39A6" w:rsidRDefault="00F53363">
      <w:r>
        <w:rPr>
          <w:b/>
        </w:rPr>
        <w:t>Verification notes (author note).</w:t>
      </w:r>
      <w:r>
        <w:t xml:space="preserve"> Before submission: add page numbers and DOIs for [2], [4], [5], [10]–[12], [16], [20], [23], [33] from IEEE Xplore / ACM DL; check whether [7], [13], [14] have peer-reviewed versions and cite those; [10] and [12] venues are taken from the authors' PDF file names; [36] volume, issue and DOI were confirmed, but its page range was not — confirm it. Every other entry was checked against its publisher, DOI or arXiv page.</w:t>
      </w:r>
    </w:p>
    <w:sectPr w:rsidR="00CC39A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5CDD"/>
    <w:multiLevelType w:val="hybridMultilevel"/>
    <w:tmpl w:val="C41C0A3E"/>
    <w:lvl w:ilvl="0" w:tplc="276E0E84">
      <w:start w:val="1"/>
      <w:numFmt w:val="bullet"/>
      <w:lvlText w:val="•"/>
      <w:lvlJc w:val="left"/>
      <w:pPr>
        <w:ind w:left="720" w:hanging="360"/>
      </w:pPr>
    </w:lvl>
    <w:lvl w:ilvl="1" w:tplc="5832D4E4">
      <w:start w:val="1"/>
      <w:numFmt w:val="bullet"/>
      <w:lvlText w:val="o"/>
      <w:lvlJc w:val="left"/>
      <w:pPr>
        <w:ind w:left="1440" w:hanging="360"/>
      </w:pPr>
    </w:lvl>
    <w:lvl w:ilvl="2" w:tplc="C06EC8A8">
      <w:start w:val="1"/>
      <w:numFmt w:val="bullet"/>
      <w:lvlText w:val="▪"/>
      <w:lvlJc w:val="left"/>
      <w:pPr>
        <w:ind w:left="2160" w:hanging="360"/>
      </w:pPr>
    </w:lvl>
    <w:lvl w:ilvl="3" w:tplc="65DC3676">
      <w:start w:val="1"/>
      <w:numFmt w:val="bullet"/>
      <w:lvlText w:val="•"/>
      <w:lvlJc w:val="left"/>
      <w:pPr>
        <w:ind w:left="2880" w:hanging="360"/>
      </w:pPr>
    </w:lvl>
    <w:lvl w:ilvl="4" w:tplc="BF5CBBDE">
      <w:start w:val="1"/>
      <w:numFmt w:val="bullet"/>
      <w:lvlText w:val="o"/>
      <w:lvlJc w:val="left"/>
      <w:pPr>
        <w:ind w:left="3600" w:hanging="360"/>
      </w:pPr>
    </w:lvl>
    <w:lvl w:ilvl="5" w:tplc="DF70738C">
      <w:start w:val="1"/>
      <w:numFmt w:val="bullet"/>
      <w:lvlText w:val="▪"/>
      <w:lvlJc w:val="left"/>
      <w:pPr>
        <w:ind w:left="4320" w:hanging="360"/>
      </w:pPr>
    </w:lvl>
    <w:lvl w:ilvl="6" w:tplc="5A90C38A">
      <w:start w:val="1"/>
      <w:numFmt w:val="bullet"/>
      <w:lvlText w:val="•"/>
      <w:lvlJc w:val="left"/>
      <w:pPr>
        <w:ind w:left="5040" w:hanging="360"/>
      </w:pPr>
    </w:lvl>
    <w:lvl w:ilvl="7" w:tplc="2C7605BE">
      <w:start w:val="1"/>
      <w:numFmt w:val="bullet"/>
      <w:lvlText w:val="o"/>
      <w:lvlJc w:val="left"/>
      <w:pPr>
        <w:ind w:left="5760" w:hanging="360"/>
      </w:pPr>
    </w:lvl>
    <w:lvl w:ilvl="8" w:tplc="C7E2C7CE">
      <w:start w:val="1"/>
      <w:numFmt w:val="bullet"/>
      <w:lvlText w:val="▪"/>
      <w:lvlJc w:val="left"/>
      <w:pPr>
        <w:ind w:left="6480" w:hanging="360"/>
      </w:pPr>
    </w:lvl>
  </w:abstractNum>
  <w:abstractNum w:abstractNumId="1" w15:restartNumberingAfterBreak="0">
    <w:nsid w:val="3AF635D1"/>
    <w:multiLevelType w:val="hybridMultilevel"/>
    <w:tmpl w:val="855473DA"/>
    <w:lvl w:ilvl="0" w:tplc="DC367F6C">
      <w:start w:val="1"/>
      <w:numFmt w:val="decimal"/>
      <w:lvlText w:val="%1."/>
      <w:lvlJc w:val="left"/>
      <w:pPr>
        <w:ind w:left="720" w:hanging="360"/>
      </w:pPr>
    </w:lvl>
    <w:lvl w:ilvl="1" w:tplc="F61AF17E">
      <w:start w:val="1"/>
      <w:numFmt w:val="lowerLetter"/>
      <w:lvlText w:val="%2."/>
      <w:lvlJc w:val="left"/>
      <w:pPr>
        <w:ind w:left="1440" w:hanging="360"/>
      </w:pPr>
    </w:lvl>
    <w:lvl w:ilvl="2" w:tplc="38F6B462">
      <w:start w:val="1"/>
      <w:numFmt w:val="lowerRoman"/>
      <w:lvlText w:val="%3."/>
      <w:lvlJc w:val="left"/>
      <w:pPr>
        <w:ind w:left="2160" w:hanging="360"/>
      </w:pPr>
    </w:lvl>
    <w:lvl w:ilvl="3" w:tplc="81D42F44">
      <w:start w:val="1"/>
      <w:numFmt w:val="decimal"/>
      <w:lvlText w:val="%4."/>
      <w:lvlJc w:val="left"/>
      <w:pPr>
        <w:ind w:left="2880" w:hanging="360"/>
      </w:pPr>
    </w:lvl>
    <w:lvl w:ilvl="4" w:tplc="8B3865A6">
      <w:start w:val="1"/>
      <w:numFmt w:val="lowerLetter"/>
      <w:lvlText w:val="%5."/>
      <w:lvlJc w:val="left"/>
      <w:pPr>
        <w:ind w:left="3600" w:hanging="360"/>
      </w:pPr>
    </w:lvl>
    <w:lvl w:ilvl="5" w:tplc="F01032B4">
      <w:start w:val="1"/>
      <w:numFmt w:val="lowerRoman"/>
      <w:lvlText w:val="%6."/>
      <w:lvlJc w:val="left"/>
      <w:pPr>
        <w:ind w:left="4320" w:hanging="360"/>
      </w:pPr>
    </w:lvl>
    <w:lvl w:ilvl="6" w:tplc="9A62231C">
      <w:start w:val="1"/>
      <w:numFmt w:val="decimal"/>
      <w:lvlText w:val="%7."/>
      <w:lvlJc w:val="left"/>
      <w:pPr>
        <w:ind w:left="5040" w:hanging="360"/>
      </w:pPr>
    </w:lvl>
    <w:lvl w:ilvl="7" w:tplc="6FC69E22">
      <w:start w:val="1"/>
      <w:numFmt w:val="lowerLetter"/>
      <w:lvlText w:val="%8."/>
      <w:lvlJc w:val="left"/>
      <w:pPr>
        <w:ind w:left="5760" w:hanging="360"/>
      </w:pPr>
    </w:lvl>
    <w:lvl w:ilvl="8" w:tplc="2EA4B364">
      <w:start w:val="1"/>
      <w:numFmt w:val="lowerRoman"/>
      <w:lvlText w:val="%9."/>
      <w:lvlJc w:val="left"/>
      <w:pPr>
        <w:ind w:left="6480" w:hanging="360"/>
      </w:pPr>
    </w:lvl>
  </w:abstractNum>
  <w:num w:numId="1" w16cid:durableId="1241209642">
    <w:abstractNumId w:val="0"/>
  </w:num>
  <w:num w:numId="2" w16cid:durableId="2128504437">
    <w:abstractNumId w:val="1"/>
    <w:lvlOverride w:ilvl="0">
      <w:startOverride w:val="1"/>
    </w:lvlOverride>
  </w:num>
  <w:num w:numId="3" w16cid:durableId="2023317472">
    <w:abstractNumId w:val="1"/>
    <w:lvlOverride w:ilvl="0">
      <w:startOverride w:val="1"/>
    </w:lvlOverride>
  </w:num>
  <w:num w:numId="4" w16cid:durableId="142083397">
    <w:abstractNumId w:val="0"/>
  </w:num>
  <w:num w:numId="5" w16cid:durableId="2005937595">
    <w:abstractNumId w:val="0"/>
  </w:num>
  <w:num w:numId="6" w16cid:durableId="1787776497">
    <w:abstractNumId w:val="0"/>
  </w:num>
  <w:num w:numId="7" w16cid:durableId="6165693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9A6"/>
    <w:rsid w:val="00036F4A"/>
    <w:rsid w:val="00274762"/>
    <w:rsid w:val="00CB3979"/>
    <w:rsid w:val="00CC39A6"/>
    <w:rsid w:val="00F533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CC5A7"/>
  <w15:docId w15:val="{20C18ADF-8BD5-4109-8C01-84D986600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30</Pages>
  <Words>11798</Words>
  <Characters>67252</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EcoRouteAI — Manuscript Draft v0.1</vt:lpstr>
    </vt:vector>
  </TitlesOfParts>
  <Company/>
  <LinksUpToDate>false</LinksUpToDate>
  <CharactersWithSpaces>78893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EcoRouteAI — Manuscript Draft v0.1</dc:title>
  <dc:creator>Hritaranjan De</dc:creator>
  <dc:description>Claude Docs node/22e27fc9-98e6@35 docx-w6</dc:description>
  <cp:lastModifiedBy>Hritaranjan De</cp:lastModifiedBy>
  <cp:revision>2</cp:revision>
  <dcterms:created xsi:type="dcterms:W3CDTF">2026-10-13T19:17:00Z</dcterms:created>
  <dcterms:modified xsi:type="dcterms:W3CDTF">2026-10-13T19:17:00Z</dcterms:modified>
</cp:coreProperties>
</file>