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B3A6B"/>
          <w:sz w:val="44"/>
        </w:rPr>
        <w:t>UNIFIED MASTER ARCHITECTURE v3.0</w:t>
      </w:r>
    </w:p>
    <w:p>
      <w:pPr>
        <w:jc w:val="center"/>
      </w:pPr>
      <w:r>
        <w:rPr>
          <w:color w:val="1B3A6B"/>
          <w:sz w:val="32"/>
        </w:rPr>
        <w:t>Finance-First F&amp;B Projection Engine</w:t>
      </w:r>
    </w:p>
    <w:p/>
    <w:p>
      <w:pPr>
        <w:jc w:val="center"/>
      </w:pPr>
      <w:r>
        <w:rPr>
          <w:i/>
          <w:color w:val="444444"/>
          <w:sz w:val="24"/>
        </w:rPr>
        <w:t>Dark Kitchen · Pizza Format · Planning System</w:t>
      </w:r>
    </w:p>
    <w:p/>
    <w:p/>
    <w:tbl>
      <w:tblPr>
        <w:tblStyle w:val="TableGrid"/>
        <w:tblW w:type="auto" w:w="0"/>
        <w:jc w:val="center"/>
        <w:tblLook w:firstColumn="1" w:firstRow="1" w:lastColumn="0" w:lastRow="0" w:noHBand="0" w:noVBand="1" w:val="04A0"/>
      </w:tblPr>
      <w:tblGrid>
        <w:gridCol w:w="4680"/>
        <w:gridCol w:w="4680"/>
      </w:tblGrid>
      <w:tr>
        <w:tc>
          <w:tcPr>
            <w:tcW w:type="dxa" w:w="3600"/>
            <w:shd w:fill="1B3A6B" w:val="clear"/>
          </w:tcPr>
          <w:p>
            <w:pPr>
              <w:keepLines/>
            </w:pPr>
            <w:r>
              <w:rPr>
                <w:b/>
                <w:color w:val="FFFFFF"/>
                <w:sz w:val="20"/>
              </w:rPr>
              <w:t>Document Type</w:t>
            </w:r>
          </w:p>
        </w:tc>
        <w:tc>
          <w:tcPr>
            <w:tcW w:type="dxa" w:w="5040"/>
          </w:tcPr>
          <w:p>
            <w:pPr>
              <w:keepLines/>
            </w:pPr>
            <w:r>
              <w:rPr>
                <w:sz w:val="20"/>
              </w:rPr>
              <w:t>Architecture Specification</w:t>
            </w:r>
          </w:p>
        </w:tc>
      </w:tr>
      <w:tr>
        <w:tc>
          <w:tcPr>
            <w:tcW w:type="dxa" w:w="3600"/>
            <w:shd w:fill="1B3A6B" w:val="clear"/>
          </w:tcPr>
          <w:p>
            <w:pPr>
              <w:keepLines/>
            </w:pPr>
            <w:r>
              <w:rPr>
                <w:b/>
                <w:color w:val="FFFFFF"/>
                <w:sz w:val="20"/>
              </w:rPr>
              <w:t>Version</w:t>
            </w:r>
          </w:p>
        </w:tc>
        <w:tc>
          <w:tcPr>
            <w:tcW w:type="dxa" w:w="5040"/>
          </w:tcPr>
          <w:p>
            <w:pPr>
              <w:keepLines/>
            </w:pPr>
            <w:r>
              <w:rPr>
                <w:sz w:val="20"/>
              </w:rPr>
              <w:t>v3.0 — Unified Master</w:t>
            </w:r>
          </w:p>
        </w:tc>
      </w:tr>
      <w:tr>
        <w:tc>
          <w:tcPr>
            <w:tcW w:type="dxa" w:w="3600"/>
            <w:shd w:fill="1B3A6B" w:val="clear"/>
          </w:tcPr>
          <w:p>
            <w:pPr>
              <w:keepLines/>
            </w:pPr>
            <w:r>
              <w:rPr>
                <w:b/>
                <w:color w:val="FFFFFF"/>
                <w:sz w:val="20"/>
              </w:rPr>
              <w:t>Date</w:t>
            </w:r>
          </w:p>
        </w:tc>
        <w:tc>
          <w:tcPr>
            <w:tcW w:type="dxa" w:w="5040"/>
          </w:tcPr>
          <w:p>
            <w:pPr>
              <w:keepLines/>
            </w:pPr>
            <w:r>
              <w:rPr>
                <w:sz w:val="20"/>
              </w:rPr>
              <w:t>March 2026</w:t>
            </w:r>
          </w:p>
        </w:tc>
      </w:tr>
      <w:tr>
        <w:tc>
          <w:tcPr>
            <w:tcW w:type="dxa" w:w="3600"/>
            <w:shd w:fill="1B3A6B" w:val="clear"/>
          </w:tcPr>
          <w:p>
            <w:pPr>
              <w:keepLines/>
            </w:pPr>
            <w:r>
              <w:rPr>
                <w:b/>
                <w:color w:val="FFFFFF"/>
                <w:sz w:val="20"/>
              </w:rPr>
              <w:t>Scope</w:t>
            </w:r>
          </w:p>
        </w:tc>
        <w:tc>
          <w:tcPr>
            <w:tcW w:type="dxa" w:w="5040"/>
          </w:tcPr>
          <w:p>
            <w:pPr>
              <w:keepLines/>
            </w:pPr>
            <w:r>
              <w:rPr>
                <w:sz w:val="20"/>
              </w:rPr>
              <w:t>9-Layer Finance-First Planning Architecture</w:t>
            </w:r>
          </w:p>
        </w:tc>
      </w:tr>
      <w:tr>
        <w:tc>
          <w:tcPr>
            <w:tcW w:type="dxa" w:w="3600"/>
            <w:shd w:fill="1B3A6B" w:val="clear"/>
          </w:tcPr>
          <w:p>
            <w:pPr>
              <w:keepLines/>
            </w:pPr>
            <w:r>
              <w:rPr>
                <w:b/>
                <w:color w:val="FFFFFF"/>
                <w:sz w:val="20"/>
              </w:rPr>
              <w:t>Status</w:t>
            </w:r>
          </w:p>
        </w:tc>
        <w:tc>
          <w:tcPr>
            <w:tcW w:type="dxa" w:w="5040"/>
          </w:tcPr>
          <w:p>
            <w:pPr>
              <w:keepLines/>
            </w:pPr>
            <w:r>
              <w:rPr>
                <w:sz w:val="20"/>
              </w:rPr>
              <w:t>Final — Approved for Engineering</w:t>
            </w:r>
          </w:p>
        </w:tc>
      </w:tr>
    </w:tbl>
    <w:p>
      <w:r>
        <w:br w:type="page"/>
      </w:r>
    </w:p>
    <w:p>
      <w:pPr>
        <w:pStyle w:val="Heading1"/>
        <w:keepNext/>
      </w:pPr>
      <w:r>
        <w:t>Table of Contents</w:t>
      </w:r>
    </w:p>
    <w:p>
      <w:pPr>
        <w:spacing w:after="60"/>
      </w:pPr>
      <w:r>
        <w:rPr>
          <w:b/>
          <w:color w:val="1B3A6B"/>
          <w:sz w:val="20"/>
        </w:rPr>
        <w:t xml:space="preserve">1.  </w:t>
      </w:r>
      <w:r>
        <w:rPr>
          <w:sz w:val="20"/>
        </w:rPr>
        <w:t>Cover &amp; Legend</w:t>
      </w:r>
    </w:p>
    <w:p>
      <w:pPr>
        <w:spacing w:after="60"/>
      </w:pPr>
      <w:r>
        <w:rPr>
          <w:b/>
          <w:color w:val="1B3A6B"/>
          <w:sz w:val="20"/>
        </w:rPr>
        <w:t xml:space="preserve">2.  </w:t>
      </w:r>
      <w:r>
        <w:rPr>
          <w:sz w:val="20"/>
        </w:rPr>
        <w:t>Design Philosophy</w:t>
      </w:r>
    </w:p>
    <w:p>
      <w:pPr>
        <w:spacing w:after="60"/>
      </w:pPr>
      <w:r>
        <w:rPr>
          <w:b/>
          <w:color w:val="1B3A6B"/>
          <w:sz w:val="20"/>
        </w:rPr>
        <w:t xml:space="preserve">3.  </w:t>
      </w:r>
      <w:r>
        <w:rPr>
          <w:sz w:val="20"/>
        </w:rPr>
        <w:t>Master 9-Layer Architecture</w:t>
      </w:r>
    </w:p>
    <w:p>
      <w:pPr>
        <w:spacing w:after="60"/>
      </w:pPr>
      <w:r>
        <w:rPr>
          <w:b/>
          <w:color w:val="1B3A6B"/>
          <w:sz w:val="20"/>
        </w:rPr>
        <w:t xml:space="preserve">4.  </w:t>
      </w:r>
      <w:r>
        <w:rPr>
          <w:sz w:val="20"/>
        </w:rPr>
        <w:t>Canonical Engine Flow</w:t>
      </w:r>
    </w:p>
    <w:p>
      <w:pPr>
        <w:spacing w:after="60"/>
      </w:pPr>
      <w:r>
        <w:rPr>
          <w:b/>
          <w:color w:val="1B3A6B"/>
          <w:sz w:val="20"/>
        </w:rPr>
        <w:t xml:space="preserve">5.  </w:t>
      </w:r>
      <w:r>
        <w:rPr>
          <w:sz w:val="20"/>
        </w:rPr>
        <w:t>Scope Taxonomy Table</w:t>
      </w:r>
    </w:p>
    <w:p>
      <w:pPr>
        <w:spacing w:after="60"/>
      </w:pPr>
      <w:r>
        <w:rPr>
          <w:b/>
          <w:color w:val="1B3A6B"/>
          <w:sz w:val="20"/>
        </w:rPr>
        <w:t xml:space="preserve">6.  </w:t>
      </w:r>
      <w:r>
        <w:rPr>
          <w:sz w:val="20"/>
        </w:rPr>
        <w:t>Planning Spine Detail</w:t>
      </w:r>
    </w:p>
    <w:p>
      <w:pPr>
        <w:spacing w:after="60"/>
      </w:pPr>
      <w:r>
        <w:rPr>
          <w:b/>
          <w:color w:val="1B3A6B"/>
          <w:sz w:val="20"/>
        </w:rPr>
        <w:t xml:space="preserve">7.  </w:t>
      </w:r>
      <w:r>
        <w:rPr>
          <w:sz w:val="20"/>
        </w:rPr>
        <w:t>Driver Engine Detail</w:t>
      </w:r>
    </w:p>
    <w:p>
      <w:pPr>
        <w:spacing w:after="60"/>
      </w:pPr>
      <w:r>
        <w:rPr>
          <w:b/>
          <w:color w:val="1B3A6B"/>
          <w:sz w:val="20"/>
        </w:rPr>
        <w:t xml:space="preserve">8.  </w:t>
      </w:r>
      <w:r>
        <w:rPr>
          <w:sz w:val="20"/>
        </w:rPr>
        <w:t>Financial Projection Engine Detail</w:t>
      </w:r>
    </w:p>
    <w:p>
      <w:pPr>
        <w:spacing w:after="60"/>
      </w:pPr>
      <w:r>
        <w:rPr>
          <w:b/>
          <w:color w:val="1B3A6B"/>
          <w:sz w:val="20"/>
        </w:rPr>
        <w:t xml:space="preserve">9.  </w:t>
      </w:r>
      <w:r>
        <w:rPr>
          <w:sz w:val="20"/>
        </w:rPr>
        <w:t>KPI &amp; Explainability Layer</w:t>
      </w:r>
    </w:p>
    <w:p>
      <w:pPr>
        <w:spacing w:after="60"/>
      </w:pPr>
      <w:r>
        <w:rPr>
          <w:b/>
          <w:color w:val="1B3A6B"/>
          <w:sz w:val="20"/>
        </w:rPr>
        <w:t xml:space="preserve">10.  </w:t>
      </w:r>
      <w:r>
        <w:rPr>
          <w:sz w:val="20"/>
        </w:rPr>
        <w:t>Risk &amp; Uncertainty Framework</w:t>
      </w:r>
    </w:p>
    <w:p>
      <w:pPr>
        <w:spacing w:after="60"/>
      </w:pPr>
      <w:r>
        <w:rPr>
          <w:b/>
          <w:color w:val="1B3A6B"/>
          <w:sz w:val="20"/>
        </w:rPr>
        <w:t xml:space="preserve">11.  </w:t>
      </w:r>
      <w:r>
        <w:rPr>
          <w:sz w:val="20"/>
        </w:rPr>
        <w:t>Simulation Catalog</w:t>
      </w:r>
    </w:p>
    <w:p>
      <w:pPr>
        <w:spacing w:after="60"/>
      </w:pPr>
      <w:r>
        <w:rPr>
          <w:b/>
          <w:color w:val="1B3A6B"/>
          <w:sz w:val="20"/>
        </w:rPr>
        <w:t xml:space="preserve">12.  </w:t>
      </w:r>
      <w:r>
        <w:rPr>
          <w:sz w:val="20"/>
        </w:rPr>
        <w:t>Planning Grain Evolution</w:t>
      </w:r>
    </w:p>
    <w:p>
      <w:pPr>
        <w:spacing w:after="60"/>
      </w:pPr>
      <w:r>
        <w:rPr>
          <w:b/>
          <w:color w:val="1B3A6B"/>
          <w:sz w:val="20"/>
        </w:rPr>
        <w:t xml:space="preserve">13.  </w:t>
      </w:r>
      <w:r>
        <w:rPr>
          <w:sz w:val="20"/>
        </w:rPr>
        <w:t>Market &amp; Expansion Architecture</w:t>
      </w:r>
    </w:p>
    <w:p>
      <w:pPr>
        <w:spacing w:after="60"/>
      </w:pPr>
      <w:r>
        <w:rPr>
          <w:b/>
          <w:color w:val="1B3A6B"/>
          <w:sz w:val="20"/>
        </w:rPr>
        <w:t xml:space="preserve">14.  </w:t>
      </w:r>
      <w:r>
        <w:rPr>
          <w:sz w:val="20"/>
        </w:rPr>
        <w:t>Portfolio &amp; Decision Intelligence</w:t>
      </w:r>
    </w:p>
    <w:p>
      <w:pPr>
        <w:spacing w:after="60"/>
      </w:pPr>
      <w:r>
        <w:rPr>
          <w:b/>
          <w:color w:val="1B3A6B"/>
          <w:sz w:val="20"/>
        </w:rPr>
        <w:t xml:space="preserve">15.  </w:t>
      </w:r>
      <w:r>
        <w:rPr>
          <w:sz w:val="20"/>
        </w:rPr>
        <w:t>Optional Extension Layer</w:t>
      </w:r>
    </w:p>
    <w:p>
      <w:pPr>
        <w:spacing w:after="60"/>
      </w:pPr>
      <w:r>
        <w:rPr>
          <w:b/>
          <w:color w:val="1B3A6B"/>
          <w:sz w:val="20"/>
        </w:rPr>
        <w:t xml:space="preserve">16.  </w:t>
      </w:r>
      <w:r>
        <w:rPr>
          <w:sz w:val="20"/>
        </w:rPr>
        <w:t>Technology &amp; Integration</w:t>
      </w:r>
    </w:p>
    <w:p>
      <w:pPr>
        <w:spacing w:after="60"/>
      </w:pPr>
      <w:r>
        <w:rPr>
          <w:b/>
          <w:color w:val="1B3A6B"/>
          <w:sz w:val="20"/>
        </w:rPr>
        <w:t xml:space="preserve">17.  </w:t>
      </w:r>
      <w:r>
        <w:rPr>
          <w:sz w:val="20"/>
        </w:rPr>
        <w:t>Scope Boundary Summary</w:t>
      </w:r>
    </w:p>
    <w:p>
      <w:pPr>
        <w:spacing w:after="60"/>
      </w:pPr>
      <w:r>
        <w:rPr>
          <w:b/>
          <w:color w:val="1B3A6B"/>
          <w:sz w:val="20"/>
        </w:rPr>
        <w:t xml:space="preserve">18.  </w:t>
      </w:r>
      <w:r>
        <w:rPr>
          <w:sz w:val="20"/>
        </w:rPr>
        <w:t>Phased Delivery Roadmap</w:t>
      </w:r>
    </w:p>
    <w:p>
      <w:r>
        <w:br w:type="page"/>
      </w:r>
    </w:p>
    <w:p>
      <w:pPr>
        <w:pStyle w:val="Heading1"/>
        <w:keepNext/>
      </w:pPr>
      <w:r>
        <w:t>1. Cover &amp; Legend</w:t>
      </w:r>
    </w:p>
    <w:p>
      <w:pPr>
        <w:spacing w:before="0" w:after="80"/>
        <w:jc w:val="left"/>
      </w:pPr>
      <w:r>
        <w:rPr>
          <w:b w:val="0"/>
          <w:i w:val="0"/>
          <w:sz w:val="20"/>
        </w:rPr>
        <w:t>This document defines the complete architecture for the Finance-First F&amp;B Projection Engine. It specifies all 9 layers of the planning system, their modules, entities, data flows, scope boundaries, and phased delivery roadmap.</w:t>
      </w:r>
    </w:p>
    <w:p/>
    <w:p>
      <w:pPr>
        <w:pStyle w:val="Heading2"/>
        <w:keepNext/>
      </w:pPr>
      <w:r>
        <w:t>Color Legend</w:t>
      </w:r>
    </w:p>
    <w:tbl>
      <w:tblPr>
        <w:tblStyle w:val="TableGrid"/>
        <w:tblW w:type="auto" w:w="0"/>
        <w:jc w:val="left"/>
        <w:tblLook w:firstColumn="1" w:firstRow="1" w:lastColumn="0" w:lastRow="0" w:noHBand="0" w:noVBand="1" w:val="04A0"/>
      </w:tblPr>
      <w:tblGrid>
        <w:gridCol w:w="4680"/>
        <w:gridCol w:w="4680"/>
      </w:tblGrid>
      <w:tr>
        <w:tc>
          <w:tcPr>
            <w:tcW w:type="dxa" w:w="720"/>
            <w:shd w:fill="1B3A6B" w:val="clear"/>
          </w:tcPr>
          <w:p>
            <w:pPr>
              <w:keepLines/>
            </w:pPr>
            <w:r>
              <w:t xml:space="preserve"> </w:t>
            </w:r>
          </w:p>
        </w:tc>
        <w:tc>
          <w:tcPr>
            <w:tcW w:type="dxa" w:w="8640"/>
          </w:tcPr>
          <w:p>
            <w:pPr>
              <w:keepLines/>
            </w:pPr>
            <w:r>
              <w:rPr>
                <w:sz w:val="20"/>
              </w:rPr>
              <w:t>Layer A — Planning Spine &amp; Governance</w:t>
            </w:r>
          </w:p>
        </w:tc>
      </w:tr>
      <w:tr>
        <w:tc>
          <w:tcPr>
            <w:tcW w:type="dxa" w:w="720"/>
            <w:shd w:fill="1565C0" w:val="clear"/>
          </w:tcPr>
          <w:p>
            <w:pPr>
              <w:keepLines/>
            </w:pPr>
            <w:r>
              <w:t xml:space="preserve"> </w:t>
            </w:r>
          </w:p>
        </w:tc>
        <w:tc>
          <w:tcPr>
            <w:tcW w:type="dxa" w:w="8640"/>
          </w:tcPr>
          <w:p>
            <w:pPr>
              <w:keepLines/>
            </w:pPr>
            <w:r>
              <w:rPr>
                <w:sz w:val="20"/>
              </w:rPr>
              <w:t>Layer B — Commercial Driver Engine</w:t>
            </w:r>
          </w:p>
        </w:tc>
      </w:tr>
      <w:tr>
        <w:tc>
          <w:tcPr>
            <w:tcW w:type="dxa" w:w="720"/>
            <w:shd w:fill="2E7D32" w:val="clear"/>
          </w:tcPr>
          <w:p>
            <w:pPr>
              <w:keepLines/>
            </w:pPr>
            <w:r>
              <w:t xml:space="preserve"> </w:t>
            </w:r>
          </w:p>
        </w:tc>
        <w:tc>
          <w:tcPr>
            <w:tcW w:type="dxa" w:w="8640"/>
          </w:tcPr>
          <w:p>
            <w:pPr>
              <w:keepLines/>
            </w:pPr>
            <w:r>
              <w:rPr>
                <w:sz w:val="20"/>
              </w:rPr>
              <w:t>Layer C — Cost Driver Engine</w:t>
            </w:r>
          </w:p>
        </w:tc>
      </w:tr>
      <w:tr>
        <w:tc>
          <w:tcPr>
            <w:tcW w:type="dxa" w:w="720"/>
            <w:shd w:fill="6A1B9A" w:val="clear"/>
          </w:tcPr>
          <w:p>
            <w:pPr>
              <w:keepLines/>
            </w:pPr>
            <w:r>
              <w:t xml:space="preserve"> </w:t>
            </w:r>
          </w:p>
        </w:tc>
        <w:tc>
          <w:tcPr>
            <w:tcW w:type="dxa" w:w="8640"/>
          </w:tcPr>
          <w:p>
            <w:pPr>
              <w:keepLines/>
            </w:pPr>
            <w:r>
              <w:rPr>
                <w:sz w:val="20"/>
              </w:rPr>
              <w:t>Layer D — Funding &amp; Capital Strategy</w:t>
            </w:r>
          </w:p>
        </w:tc>
      </w:tr>
      <w:tr>
        <w:tc>
          <w:tcPr>
            <w:tcW w:type="dxa" w:w="720"/>
            <w:shd w:fill="00695C" w:val="clear"/>
          </w:tcPr>
          <w:p>
            <w:pPr>
              <w:keepLines/>
            </w:pPr>
            <w:r>
              <w:t xml:space="preserve"> </w:t>
            </w:r>
          </w:p>
        </w:tc>
        <w:tc>
          <w:tcPr>
            <w:tcW w:type="dxa" w:w="8640"/>
          </w:tcPr>
          <w:p>
            <w:pPr>
              <w:keepLines/>
            </w:pPr>
            <w:r>
              <w:rPr>
                <w:sz w:val="20"/>
              </w:rPr>
              <w:t>Layer E — Financial Projection Engine</w:t>
            </w:r>
          </w:p>
        </w:tc>
      </w:tr>
      <w:tr>
        <w:tc>
          <w:tcPr>
            <w:tcW w:type="dxa" w:w="720"/>
            <w:shd w:fill="F57F17" w:val="clear"/>
          </w:tcPr>
          <w:p>
            <w:pPr>
              <w:keepLines/>
            </w:pPr>
            <w:r>
              <w:t xml:space="preserve"> </w:t>
            </w:r>
          </w:p>
        </w:tc>
        <w:tc>
          <w:tcPr>
            <w:tcW w:type="dxa" w:w="8640"/>
          </w:tcPr>
          <w:p>
            <w:pPr>
              <w:keepLines/>
            </w:pPr>
            <w:r>
              <w:rPr>
                <w:sz w:val="20"/>
              </w:rPr>
              <w:t>Layer F — KPI &amp; Performance Intelligence</w:t>
            </w:r>
          </w:p>
        </w:tc>
      </w:tr>
      <w:tr>
        <w:tc>
          <w:tcPr>
            <w:tcW w:type="dxa" w:w="720"/>
            <w:shd w:fill="B71C1C" w:val="clear"/>
          </w:tcPr>
          <w:p>
            <w:pPr>
              <w:keepLines/>
            </w:pPr>
            <w:r>
              <w:t xml:space="preserve"> </w:t>
            </w:r>
          </w:p>
        </w:tc>
        <w:tc>
          <w:tcPr>
            <w:tcW w:type="dxa" w:w="8640"/>
          </w:tcPr>
          <w:p>
            <w:pPr>
              <w:keepLines/>
            </w:pPr>
            <w:r>
              <w:rPr>
                <w:sz w:val="20"/>
              </w:rPr>
              <w:t>Layer G — Risk &amp; Uncertainty Framework</w:t>
            </w:r>
          </w:p>
        </w:tc>
      </w:tr>
      <w:tr>
        <w:tc>
          <w:tcPr>
            <w:tcW w:type="dxa" w:w="720"/>
            <w:shd w:fill="0277BD" w:val="clear"/>
          </w:tcPr>
          <w:p>
            <w:pPr>
              <w:keepLines/>
            </w:pPr>
            <w:r>
              <w:t xml:space="preserve"> </w:t>
            </w:r>
          </w:p>
        </w:tc>
        <w:tc>
          <w:tcPr>
            <w:tcW w:type="dxa" w:w="8640"/>
          </w:tcPr>
          <w:p>
            <w:pPr>
              <w:keepLines/>
            </w:pPr>
            <w:r>
              <w:rPr>
                <w:sz w:val="20"/>
              </w:rPr>
              <w:t>Layer H — Simulation &amp; Decision Support</w:t>
            </w:r>
          </w:p>
        </w:tc>
      </w:tr>
      <w:tr>
        <w:tc>
          <w:tcPr>
            <w:tcW w:type="dxa" w:w="720"/>
            <w:shd w:fill="37474F" w:val="clear"/>
          </w:tcPr>
          <w:p>
            <w:pPr>
              <w:keepLines/>
            </w:pPr>
            <w:r>
              <w:t xml:space="preserve"> </w:t>
            </w:r>
          </w:p>
        </w:tc>
        <w:tc>
          <w:tcPr>
            <w:tcW w:type="dxa" w:w="8640"/>
          </w:tcPr>
          <w:p>
            <w:pPr>
              <w:keepLines/>
            </w:pPr>
            <w:r>
              <w:rPr>
                <w:sz w:val="20"/>
              </w:rPr>
              <w:t>Layer I — Portfolio &amp; Decision Intelligence</w:t>
            </w:r>
          </w:p>
        </w:tc>
      </w:tr>
      <w:tr>
        <w:tc>
          <w:tcPr>
            <w:tcW w:type="dxa" w:w="720"/>
            <w:shd w:fill="9E9E9E" w:val="clear"/>
          </w:tcPr>
          <w:p>
            <w:pPr>
              <w:keepLines/>
            </w:pPr>
            <w:r>
              <w:t xml:space="preserve"> </w:t>
            </w:r>
          </w:p>
        </w:tc>
        <w:tc>
          <w:tcPr>
            <w:tcW w:type="dxa" w:w="8640"/>
          </w:tcPr>
          <w:p>
            <w:pPr>
              <w:keepLines/>
            </w:pPr>
            <w:r>
              <w:rPr>
                <w:sz w:val="20"/>
              </w:rPr>
              <w:t>Optional Extension Layer</w:t>
            </w:r>
          </w:p>
        </w:tc>
      </w:tr>
    </w:tbl>
    <w:p>
      <w:r>
        <w:br w:type="page"/>
      </w:r>
    </w:p>
    <w:p>
      <w:pPr>
        <w:pStyle w:val="Heading1"/>
        <w:keepNext/>
      </w:pPr>
      <w:r>
        <w:t>2. Design Philosophy</w:t>
      </w:r>
    </w:p>
    <w:p>
      <w:pPr>
        <w:spacing w:before="160" w:after="40"/>
        <w:jc w:val="left"/>
        <w:keepNext/>
      </w:pPr>
      <w:r>
        <w:rPr>
          <w:b/>
          <w:i w:val="0"/>
          <w:color w:val="1B3A6B"/>
          <w:sz w:val="22"/>
        </w:rPr>
        <w:t>1. Finance-First Principle</w:t>
      </w:r>
    </w:p>
    <w:p>
      <w:pPr>
        <w:spacing w:before="0" w:after="120"/>
        <w:jc w:val="left"/>
      </w:pPr>
      <w:r>
        <w:rPr>
          <w:b w:val="0"/>
          <w:i w:val="0"/>
          <w:sz w:val="20"/>
        </w:rPr>
        <w:t>The engine is strictly a planning system, not an operations platform. Every module, feature, and data point must directly serve financial decision-making (capital allocation, burn rate, runway, ROI). Operational data is only included if it drives a material financial outcome.</w:t>
      </w:r>
    </w:p>
    <w:p>
      <w:pPr>
        <w:spacing w:before="160" w:after="40"/>
        <w:jc w:val="left"/>
        <w:keepNext/>
      </w:pPr>
      <w:r>
        <w:rPr>
          <w:b/>
          <w:i w:val="0"/>
          <w:color w:val="1B3A6B"/>
          <w:sz w:val="22"/>
        </w:rPr>
        <w:t>2. The 6-18 Month Rule</w:t>
      </w:r>
    </w:p>
    <w:p>
      <w:pPr>
        <w:spacing w:before="0" w:after="120"/>
        <w:jc w:val="left"/>
      </w:pPr>
      <w:r>
        <w:rPr>
          <w:b w:val="0"/>
          <w:i w:val="0"/>
          <w:sz w:val="20"/>
        </w:rPr>
        <w:t>Any operational detail (e.g., kitchen station queueing, minute-by-minute scheduling) that does not materially change a financial decision within a 6-18 month planning window belongs in the Optional Extension Layer, not the core. The core focus is on medium-to-long term strategic clarity.</w:t>
      </w:r>
    </w:p>
    <w:p>
      <w:pPr>
        <w:spacing w:before="160" w:after="40"/>
        <w:jc w:val="left"/>
        <w:keepNext/>
      </w:pPr>
      <w:r>
        <w:rPr>
          <w:b/>
          <w:i w:val="0"/>
          <w:color w:val="1B3A6B"/>
          <w:sz w:val="22"/>
        </w:rPr>
        <w:t>3. Scope Completeness Rule</w:t>
      </w:r>
    </w:p>
    <w:p>
      <w:pPr>
        <w:spacing w:before="0" w:after="120"/>
        <w:jc w:val="left"/>
      </w:pPr>
      <w:r>
        <w:rPr>
          <w:b w:val="0"/>
          <w:i w:val="0"/>
          <w:sz w:val="20"/>
        </w:rPr>
        <w:t>Breadth is not reduced between versions. The architecture covers the full business domain but classifies components strictly into Core v1, Recommended v1.5, Phase 2-3, or Optional Extension. Nothing is eliminated; everything is properly placed.</w:t>
      </w:r>
    </w:p>
    <w:p>
      <w:pPr>
        <w:spacing w:before="160" w:after="40"/>
        <w:jc w:val="left"/>
        <w:keepNext/>
      </w:pPr>
      <w:r>
        <w:rPr>
          <w:b/>
          <w:i w:val="0"/>
          <w:color w:val="1B3A6B"/>
          <w:sz w:val="22"/>
        </w:rPr>
        <w:t>4. Driver-Based Modeling</w:t>
      </w:r>
    </w:p>
    <w:p>
      <w:pPr>
        <w:spacing w:before="0" w:after="120"/>
        <w:jc w:val="left"/>
      </w:pPr>
      <w:r>
        <w:rPr>
          <w:b w:val="0"/>
          <w:i w:val="0"/>
          <w:sz w:val="20"/>
        </w:rPr>
        <w:t>All financial projections are derived from explicit business drivers (demand, price, mix, cost rates, headcount triggers). No black-box formulas. Every output is traceable to its input assumption.</w:t>
      </w:r>
    </w:p>
    <w:p>
      <w:pPr>
        <w:spacing w:before="160" w:after="40"/>
        <w:jc w:val="left"/>
        <w:keepNext/>
      </w:pPr>
      <w:r>
        <w:rPr>
          <w:b/>
          <w:i w:val="0"/>
          <w:color w:val="1B3A6B"/>
          <w:sz w:val="22"/>
        </w:rPr>
        <w:t>5. Periodization Over Granularity</w:t>
      </w:r>
    </w:p>
    <w:p>
      <w:pPr>
        <w:spacing w:before="0" w:after="120"/>
        <w:jc w:val="left"/>
      </w:pPr>
      <w:r>
        <w:rPr>
          <w:b w:val="0"/>
          <w:i w:val="0"/>
          <w:sz w:val="20"/>
        </w:rPr>
        <w:t>Monthly periods are the primary planning grain. Weekly and daily grains are deferred to the Optional Extension Layer unless they directly affect a financial planning decision.</w:t>
      </w:r>
    </w:p>
    <w:p>
      <w:pPr>
        <w:spacing w:before="160" w:after="40"/>
        <w:jc w:val="left"/>
        <w:keepNext/>
      </w:pPr>
      <w:r>
        <w:rPr>
          <w:b/>
          <w:i w:val="0"/>
          <w:color w:val="1B3A6B"/>
          <w:sz w:val="22"/>
        </w:rPr>
        <w:t>6. Scenario-Driven Versioning</w:t>
      </w:r>
    </w:p>
    <w:p>
      <w:pPr>
        <w:spacing w:before="0" w:after="120"/>
        <w:jc w:val="left"/>
      </w:pPr>
      <w:r>
        <w:rPr>
          <w:b w:val="0"/>
          <w:i w:val="0"/>
          <w:sz w:val="20"/>
        </w:rPr>
        <w:t>Every plan exists within a Scenario (Base / Bull / Bear / Stress). No plan is ever overwritten. Each planning cycle creates new versions, enabling full audit trails and budget-vs-forecast-vs-actual comparisons.</w:t>
      </w:r>
    </w:p>
    <w:p>
      <w:r>
        <w:br w:type="page"/>
      </w:r>
    </w:p>
    <w:p>
      <w:pPr>
        <w:pStyle w:val="Heading1"/>
        <w:keepNext/>
      </w:pPr>
      <w:r>
        <w:t>3. Master 9-Layer Architecture</w:t>
      </w:r>
    </w:p>
    <w:p>
      <w:pPr>
        <w:spacing w:before="0" w:after="80"/>
        <w:jc w:val="left"/>
      </w:pPr>
      <w:r>
        <w:rPr>
          <w:b w:val="0"/>
          <w:i w:val="0"/>
          <w:sz w:val="20"/>
        </w:rPr>
        <w:t>The engine is organized into nine architectural layers, each with a distinct domain, responsibility, and set of entities. All layers are connected through the Planning Spine (Layer A) which provides the governing context for every computation.</w:t>
      </w:r>
    </w:p>
    <w:p/>
    <w:tbl>
      <w:tblPr>
        <w:tblStyle w:val="TableGrid"/>
        <w:tblW w:type="auto" w:w="0"/>
        <w:jc w:val="left"/>
        <w:tblLook w:firstColumn="1" w:firstRow="1" w:lastColumn="0" w:lastRow="0" w:noHBand="0" w:noVBand="1" w:val="04A0"/>
      </w:tblPr>
      <w:tblGrid>
        <w:gridCol w:w="3120"/>
        <w:gridCol w:w="3120"/>
        <w:gridCol w:w="3120"/>
      </w:tblGrid>
      <w:tr>
        <w:tc>
          <w:tcPr>
            <w:tcW w:type="dxa" w:w="576"/>
            <w:shd w:fill="1B3A6B" w:val="clear"/>
          </w:tcPr>
          <w:p>
            <w:pPr>
              <w:jc w:val="center"/>
              <w:keepLines/>
            </w:pPr>
            <w:r>
              <w:rPr>
                <w:b/>
                <w:color w:val="FFFFFF"/>
                <w:sz w:val="24"/>
              </w:rPr>
              <w:t>A</w:t>
            </w:r>
          </w:p>
        </w:tc>
        <w:tc>
          <w:tcPr>
            <w:tcW w:type="dxa" w:w="3744"/>
            <w:shd w:fill="1B3A6B" w:val="clear"/>
          </w:tcPr>
          <w:p>
            <w:pPr>
              <w:keepLines/>
            </w:pPr>
            <w:r>
              <w:rPr>
                <w:b/>
                <w:color w:val="FFFFFF"/>
                <w:sz w:val="20"/>
              </w:rPr>
              <w:t>Planning Spine &amp; Governance</w:t>
            </w:r>
          </w:p>
        </w:tc>
        <w:tc>
          <w:tcPr>
            <w:tcW w:type="dxa" w:w="5040"/>
          </w:tcPr>
          <w:p>
            <w:pPr>
              <w:keepLines/>
            </w:pPr>
            <w:r>
              <w:rPr>
                <w:sz w:val="17"/>
              </w:rPr>
              <w:t>Company, Scenario, AssumptionSet, PlanningCalendar, PlanningPeriod, PlanVersion | ApprovalWorkflow, AssumptionConfidence, AuditTrail, ChangeLog</w:t>
            </w:r>
          </w:p>
        </w:tc>
      </w:tr>
      <w:tr>
        <w:tc>
          <w:tcPr>
            <w:tcW w:type="dxa" w:w="576"/>
            <w:shd w:fill="1565C0" w:val="clear"/>
          </w:tcPr>
          <w:p>
            <w:pPr>
              <w:jc w:val="center"/>
              <w:keepLines/>
            </w:pPr>
            <w:r>
              <w:rPr>
                <w:b/>
                <w:color w:val="FFFFFF"/>
                <w:sz w:val="24"/>
              </w:rPr>
              <w:t>B</w:t>
            </w:r>
          </w:p>
        </w:tc>
        <w:tc>
          <w:tcPr>
            <w:tcW w:type="dxa" w:w="3744"/>
            <w:shd w:fill="1565C0" w:val="clear"/>
          </w:tcPr>
          <w:p>
            <w:pPr>
              <w:keepLines/>
            </w:pPr>
            <w:r>
              <w:rPr>
                <w:b/>
                <w:color w:val="FFFFFF"/>
                <w:sz w:val="20"/>
              </w:rPr>
              <w:t>Commercial &amp; Revenue Drivers</w:t>
            </w:r>
          </w:p>
        </w:tc>
        <w:tc>
          <w:tcPr>
            <w:tcW w:type="dxa" w:w="5040"/>
          </w:tcPr>
          <w:p>
            <w:pPr>
              <w:keepLines/>
            </w:pPr>
            <w:r>
              <w:rPr>
                <w:sz w:val="17"/>
              </w:rPr>
              <w:t>DemandDriver, PricePlan, MixPlan, PlatformMix, SeasonalityProfile, PriceElasticity | CustomerAcquisition, RetentionCurve, ChurnDriver, ReactivationDriver</w:t>
            </w:r>
          </w:p>
        </w:tc>
      </w:tr>
      <w:tr>
        <w:tc>
          <w:tcPr>
            <w:tcW w:type="dxa" w:w="576"/>
            <w:shd w:fill="2E7D32" w:val="clear"/>
          </w:tcPr>
          <w:p>
            <w:pPr>
              <w:jc w:val="center"/>
              <w:keepLines/>
            </w:pPr>
            <w:r>
              <w:rPr>
                <w:b/>
                <w:color w:val="FFFFFF"/>
                <w:sz w:val="24"/>
              </w:rPr>
              <w:t>C</w:t>
            </w:r>
          </w:p>
        </w:tc>
        <w:tc>
          <w:tcPr>
            <w:tcW w:type="dxa" w:w="3744"/>
            <w:shd w:fill="2E7D32" w:val="clear"/>
          </w:tcPr>
          <w:p>
            <w:pPr>
              <w:keepLines/>
            </w:pPr>
            <w:r>
              <w:rPr>
                <w:b/>
                <w:color w:val="FFFFFF"/>
                <w:sz w:val="20"/>
              </w:rPr>
              <w:t>Cost Drivers</w:t>
            </w:r>
          </w:p>
        </w:tc>
        <w:tc>
          <w:tcPr>
            <w:tcW w:type="dxa" w:w="5040"/>
          </w:tcPr>
          <w:p>
            <w:pPr>
              <w:keepLines/>
            </w:pPr>
            <w:r>
              <w:rPr>
                <w:sz w:val="17"/>
              </w:rPr>
              <w:t>UnitCostProfile, LaborModel, HeadcountPlan, OpexPlan, MarketingPlan, CapexPlan | WorkingCapitalPolicy, SupplierContracts, CostEscalation, OperatingLeverage</w:t>
            </w:r>
          </w:p>
        </w:tc>
      </w:tr>
      <w:tr>
        <w:tc>
          <w:tcPr>
            <w:tcW w:type="dxa" w:w="576"/>
            <w:shd w:fill="6A1B9A" w:val="clear"/>
          </w:tcPr>
          <w:p>
            <w:pPr>
              <w:jc w:val="center"/>
              <w:keepLines/>
            </w:pPr>
            <w:r>
              <w:rPr>
                <w:b/>
                <w:color w:val="FFFFFF"/>
                <w:sz w:val="24"/>
              </w:rPr>
              <w:t>D</w:t>
            </w:r>
          </w:p>
        </w:tc>
        <w:tc>
          <w:tcPr>
            <w:tcW w:type="dxa" w:w="3744"/>
            <w:shd w:fill="6A1B9A" w:val="clear"/>
          </w:tcPr>
          <w:p>
            <w:pPr>
              <w:keepLines/>
            </w:pPr>
            <w:r>
              <w:rPr>
                <w:b/>
                <w:color w:val="FFFFFF"/>
                <w:sz w:val="20"/>
              </w:rPr>
              <w:t>Funding &amp; Capital Strategy</w:t>
            </w:r>
          </w:p>
        </w:tc>
        <w:tc>
          <w:tcPr>
            <w:tcW w:type="dxa" w:w="5040"/>
          </w:tcPr>
          <w:p>
            <w:pPr>
              <w:keepLines/>
            </w:pPr>
            <w:r>
              <w:rPr>
                <w:sz w:val="17"/>
              </w:rPr>
              <w:t>FundingRound, DebtFacility, RepaymentSchedule, RunwayProjection | DilutionModeling, RaiseTimingRecommendation, CovenantTracking, CashBufferPolicy</w:t>
            </w:r>
          </w:p>
        </w:tc>
      </w:tr>
      <w:tr>
        <w:tc>
          <w:tcPr>
            <w:tcW w:type="dxa" w:w="576"/>
            <w:shd w:fill="00695C" w:val="clear"/>
          </w:tcPr>
          <w:p>
            <w:pPr>
              <w:jc w:val="center"/>
              <w:keepLines/>
            </w:pPr>
            <w:r>
              <w:rPr>
                <w:b/>
                <w:color w:val="FFFFFF"/>
                <w:sz w:val="24"/>
              </w:rPr>
              <w:t>E</w:t>
            </w:r>
          </w:p>
        </w:tc>
        <w:tc>
          <w:tcPr>
            <w:tcW w:type="dxa" w:w="3744"/>
            <w:shd w:fill="00695C" w:val="clear"/>
          </w:tcPr>
          <w:p>
            <w:pPr>
              <w:keepLines/>
            </w:pPr>
            <w:r>
              <w:rPr>
                <w:b/>
                <w:color w:val="FFFFFF"/>
                <w:sz w:val="20"/>
              </w:rPr>
              <w:t>Financial Projection Engine</w:t>
            </w:r>
          </w:p>
        </w:tc>
        <w:tc>
          <w:tcPr>
            <w:tcW w:type="dxa" w:w="5040"/>
          </w:tcPr>
          <w:p>
            <w:pPr>
              <w:keepLines/>
            </w:pPr>
            <w:r>
              <w:rPr>
                <w:sz w:val="17"/>
              </w:rPr>
              <w:t>PnLProjection, CashFlowProjection, BalanceSheetProjection | RevenueProjectionLine, COGSProjection, OpexProjection, PayrollProjection, DepreciationSchedule, TaxProjection</w:t>
            </w:r>
          </w:p>
        </w:tc>
      </w:tr>
      <w:tr>
        <w:tc>
          <w:tcPr>
            <w:tcW w:type="dxa" w:w="576"/>
            <w:shd w:fill="F57F17" w:val="clear"/>
          </w:tcPr>
          <w:p>
            <w:pPr>
              <w:jc w:val="center"/>
              <w:keepLines/>
            </w:pPr>
            <w:r>
              <w:rPr>
                <w:b/>
                <w:color w:val="FFFFFF"/>
                <w:sz w:val="24"/>
              </w:rPr>
              <w:t>F</w:t>
            </w:r>
          </w:p>
        </w:tc>
        <w:tc>
          <w:tcPr>
            <w:tcW w:type="dxa" w:w="3744"/>
            <w:shd w:fill="F57F17" w:val="clear"/>
          </w:tcPr>
          <w:p>
            <w:pPr>
              <w:keepLines/>
            </w:pPr>
            <w:r>
              <w:rPr>
                <w:b/>
                <w:color w:val="FFFFFF"/>
                <w:sz w:val="20"/>
              </w:rPr>
              <w:t>KPI &amp; Performance Intelligence</w:t>
            </w:r>
          </w:p>
        </w:tc>
        <w:tc>
          <w:tcPr>
            <w:tcW w:type="dxa" w:w="5040"/>
          </w:tcPr>
          <w:p>
            <w:pPr>
              <w:keepLines/>
            </w:pPr>
            <w:r>
              <w:rPr>
                <w:sz w:val="17"/>
              </w:rPr>
              <w:t>KPIProjection, DriverExplainability, RevenueBridge, MarginBridge | VarianceAnalysis, PlanVsActual, TrendAnalysis, BenchmarkComparison</w:t>
            </w:r>
          </w:p>
        </w:tc>
      </w:tr>
      <w:tr>
        <w:tc>
          <w:tcPr>
            <w:tcW w:type="dxa" w:w="576"/>
            <w:shd w:fill="B71C1C" w:val="clear"/>
          </w:tcPr>
          <w:p>
            <w:pPr>
              <w:jc w:val="center"/>
              <w:keepLines/>
            </w:pPr>
            <w:r>
              <w:rPr>
                <w:b/>
                <w:color w:val="FFFFFF"/>
                <w:sz w:val="24"/>
              </w:rPr>
              <w:t>G</w:t>
            </w:r>
          </w:p>
        </w:tc>
        <w:tc>
          <w:tcPr>
            <w:tcW w:type="dxa" w:w="3744"/>
            <w:shd w:fill="B71C1C" w:val="clear"/>
          </w:tcPr>
          <w:p>
            <w:pPr>
              <w:keepLines/>
            </w:pPr>
            <w:r>
              <w:rPr>
                <w:b/>
                <w:color w:val="FFFFFF"/>
                <w:sz w:val="20"/>
              </w:rPr>
              <w:t>Risk &amp; Uncertainty Framework</w:t>
            </w:r>
          </w:p>
        </w:tc>
        <w:tc>
          <w:tcPr>
            <w:tcW w:type="dxa" w:w="5040"/>
          </w:tcPr>
          <w:p>
            <w:pPr>
              <w:keepLines/>
            </w:pPr>
            <w:r>
              <w:rPr>
                <w:sz w:val="17"/>
              </w:rPr>
              <w:t>RiskObject, RiskScenario, SensitivityAnalysis, MonteCarloSimulation | RiskRegister, RiskMitigation, ProbabilisticOutputs, StressTesting</w:t>
            </w:r>
          </w:p>
        </w:tc>
      </w:tr>
      <w:tr>
        <w:tc>
          <w:tcPr>
            <w:tcW w:type="dxa" w:w="576"/>
            <w:shd w:fill="0277BD" w:val="clear"/>
          </w:tcPr>
          <w:p>
            <w:pPr>
              <w:jc w:val="center"/>
              <w:keepLines/>
            </w:pPr>
            <w:r>
              <w:rPr>
                <w:b/>
                <w:color w:val="FFFFFF"/>
                <w:sz w:val="24"/>
              </w:rPr>
              <w:t>H</w:t>
            </w:r>
          </w:p>
        </w:tc>
        <w:tc>
          <w:tcPr>
            <w:tcW w:type="dxa" w:w="3744"/>
            <w:shd w:fill="0277BD" w:val="clear"/>
          </w:tcPr>
          <w:p>
            <w:pPr>
              <w:keepLines/>
            </w:pPr>
            <w:r>
              <w:rPr>
                <w:b/>
                <w:color w:val="FFFFFF"/>
                <w:sz w:val="20"/>
              </w:rPr>
              <w:t>Simulation &amp; Decision Support</w:t>
            </w:r>
          </w:p>
        </w:tc>
        <w:tc>
          <w:tcPr>
            <w:tcW w:type="dxa" w:w="5040"/>
          </w:tcPr>
          <w:p>
            <w:pPr>
              <w:keepLines/>
            </w:pPr>
            <w:r>
              <w:rPr>
                <w:sz w:val="17"/>
              </w:rPr>
              <w:t>Pricing, Marketing, Expansion, Funding, Cost Shock, Margin Recovery, Capacity, Workforce Simulators | ScenarioComparator, SensitivityEngine, MonteCarloEngine, BreakevenAnalyzer</w:t>
            </w:r>
          </w:p>
        </w:tc>
      </w:tr>
      <w:tr>
        <w:tc>
          <w:tcPr>
            <w:tcW w:type="dxa" w:w="576"/>
            <w:shd w:fill="37474F" w:val="clear"/>
          </w:tcPr>
          <w:p>
            <w:pPr>
              <w:jc w:val="center"/>
              <w:keepLines/>
            </w:pPr>
            <w:r>
              <w:rPr>
                <w:b/>
                <w:color w:val="FFFFFF"/>
                <w:sz w:val="24"/>
              </w:rPr>
              <w:t>I</w:t>
            </w:r>
          </w:p>
        </w:tc>
        <w:tc>
          <w:tcPr>
            <w:tcW w:type="dxa" w:w="3744"/>
            <w:shd w:fill="37474F" w:val="clear"/>
          </w:tcPr>
          <w:p>
            <w:pPr>
              <w:keepLines/>
            </w:pPr>
            <w:r>
              <w:rPr>
                <w:b/>
                <w:color w:val="FFFFFF"/>
                <w:sz w:val="20"/>
              </w:rPr>
              <w:t>Portfolio &amp; Decision Intelligence</w:t>
            </w:r>
          </w:p>
        </w:tc>
        <w:tc>
          <w:tcPr>
            <w:tcW w:type="dxa" w:w="5040"/>
          </w:tcPr>
          <w:p>
            <w:pPr>
              <w:keepLines/>
            </w:pPr>
            <w:r>
              <w:rPr>
                <w:sz w:val="17"/>
              </w:rPr>
              <w:t>PortfolioConstruction, CapitalAllocation, MarketRankingEngine | DecisionMemory, DecisionLog, LearningLoop, AssumptionLineage</w:t>
            </w:r>
          </w:p>
        </w:tc>
      </w:tr>
    </w:tbl>
    <w:p>
      <w:r>
        <w:br w:type="page"/>
      </w:r>
    </w:p>
    <w:p>
      <w:pPr>
        <w:pStyle w:val="Heading1"/>
        <w:keepNext/>
      </w:pPr>
      <w:r>
        <w:t>4. Canonical Engine Flow</w:t>
      </w:r>
    </w:p>
    <w:p>
      <w:pPr>
        <w:spacing w:before="0" w:after="80"/>
        <w:jc w:val="left"/>
      </w:pPr>
      <w:r>
        <w:rPr>
          <w:b w:val="0"/>
          <w:i w:val="0"/>
          <w:sz w:val="20"/>
        </w:rPr>
        <w:t>The canonical flow defines the mandatory sequence in which the engine processes inputs and generates outputs. Every planning cycle follows this sequence, from the governing entity down to portfolio intelligence.</w:t>
      </w:r>
    </w:p>
    <w:p/>
    <w:tbl>
      <w:tblPr>
        <w:tblStyle w:val="TableGrid"/>
        <w:tblW w:type="auto" w:w="0"/>
        <w:jc w:val="left"/>
        <w:tblLook w:firstColumn="1" w:firstRow="1" w:lastColumn="0" w:lastRow="0" w:noHBand="0" w:noVBand="1" w:val="04A0"/>
      </w:tblPr>
      <w:tblGrid>
        <w:gridCol w:w="3120"/>
        <w:gridCol w:w="3120"/>
        <w:gridCol w:w="3120"/>
      </w:tblGrid>
      <w:tr>
        <w:tc>
          <w:tcPr>
            <w:tcW w:type="dxa" w:w="576"/>
            <w:shd w:fill="1B3A6B" w:val="clear"/>
          </w:tcPr>
          <w:p>
            <w:pPr>
              <w:jc w:val="center"/>
              <w:keepLines/>
            </w:pPr>
            <w:r>
              <w:rPr>
                <w:b/>
                <w:color w:val="FFFFFF"/>
                <w:sz w:val="22"/>
              </w:rPr>
              <w:t>1</w:t>
            </w:r>
          </w:p>
        </w:tc>
        <w:tc>
          <w:tcPr>
            <w:tcW w:type="dxa" w:w="2592"/>
            <w:shd w:fill="1B3A6B" w:val="clear"/>
          </w:tcPr>
          <w:p>
            <w:pPr>
              <w:keepLines/>
            </w:pPr>
            <w:r>
              <w:rPr>
                <w:b/>
                <w:color w:val="FFFFFF"/>
                <w:sz w:val="20"/>
              </w:rPr>
              <w:t>Company</w:t>
            </w:r>
          </w:p>
        </w:tc>
        <w:tc>
          <w:tcPr>
            <w:tcW w:type="dxa" w:w="6192"/>
          </w:tcPr>
          <w:p>
            <w:pPr>
              <w:keepLines/>
            </w:pPr>
            <w:r>
              <w:rPr>
                <w:sz w:val="19"/>
              </w:rPr>
              <w:t>Legal entity root. Sets base currency, fiscal year, and tax jurisdiction.</w:t>
            </w:r>
          </w:p>
        </w:tc>
      </w:tr>
      <w:tr>
        <w:tc>
          <w:tcPr>
            <w:tcW w:type="dxa" w:w="576"/>
            <w:shd w:fill="1B3A6B" w:val="clear"/>
          </w:tcPr>
          <w:p>
            <w:pPr>
              <w:jc w:val="center"/>
              <w:keepLines/>
            </w:pPr>
            <w:r>
              <w:rPr>
                <w:b/>
                <w:color w:val="FFFFFF"/>
                <w:sz w:val="22"/>
              </w:rPr>
              <w:t>2</w:t>
            </w:r>
          </w:p>
        </w:tc>
        <w:tc>
          <w:tcPr>
            <w:tcW w:type="dxa" w:w="2592"/>
            <w:shd w:fill="1B3A6B" w:val="clear"/>
          </w:tcPr>
          <w:p>
            <w:pPr>
              <w:keepLines/>
            </w:pPr>
            <w:r>
              <w:rPr>
                <w:b/>
                <w:color w:val="FFFFFF"/>
                <w:sz w:val="20"/>
              </w:rPr>
              <w:t>Scenario</w:t>
            </w:r>
          </w:p>
        </w:tc>
        <w:tc>
          <w:tcPr>
            <w:tcW w:type="dxa" w:w="6192"/>
          </w:tcPr>
          <w:p>
            <w:pPr>
              <w:keepLines/>
            </w:pPr>
            <w:r>
              <w:rPr>
                <w:sz w:val="19"/>
              </w:rPr>
              <w:t>Strategic versioning context. Base / Bull / Bear / Stress. Governs all downstream drivers.</w:t>
            </w:r>
          </w:p>
        </w:tc>
      </w:tr>
      <w:tr>
        <w:tc>
          <w:tcPr>
            <w:tcW w:type="dxa" w:w="576"/>
            <w:shd w:fill="1B3A6B" w:val="clear"/>
          </w:tcPr>
          <w:p>
            <w:pPr>
              <w:jc w:val="center"/>
              <w:keepLines/>
            </w:pPr>
            <w:r>
              <w:rPr>
                <w:b/>
                <w:color w:val="FFFFFF"/>
                <w:sz w:val="22"/>
              </w:rPr>
              <w:t>3</w:t>
            </w:r>
          </w:p>
        </w:tc>
        <w:tc>
          <w:tcPr>
            <w:tcW w:type="dxa" w:w="2592"/>
            <w:shd w:fill="1B3A6B" w:val="clear"/>
          </w:tcPr>
          <w:p>
            <w:pPr>
              <w:keepLines/>
            </w:pPr>
            <w:r>
              <w:rPr>
                <w:b/>
                <w:color w:val="FFFFFF"/>
                <w:sz w:val="20"/>
              </w:rPr>
              <w:t>Assumption Set</w:t>
            </w:r>
          </w:p>
        </w:tc>
        <w:tc>
          <w:tcPr>
            <w:tcW w:type="dxa" w:w="6192"/>
          </w:tcPr>
          <w:p>
            <w:pPr>
              <w:keepLines/>
            </w:pPr>
            <w:r>
              <w:rPr>
                <w:sz w:val="19"/>
              </w:rPr>
              <w:t>Versioned package of all input drivers. Tagged with confidence, owner, and evidence source.</w:t>
            </w:r>
          </w:p>
        </w:tc>
      </w:tr>
      <w:tr>
        <w:tc>
          <w:tcPr>
            <w:tcW w:type="dxa" w:w="576"/>
            <w:shd w:fill="1B3A6B" w:val="clear"/>
          </w:tcPr>
          <w:p>
            <w:pPr>
              <w:jc w:val="center"/>
              <w:keepLines/>
            </w:pPr>
            <w:r>
              <w:rPr>
                <w:b/>
                <w:color w:val="FFFFFF"/>
                <w:sz w:val="22"/>
              </w:rPr>
              <w:t>4</w:t>
            </w:r>
          </w:p>
        </w:tc>
        <w:tc>
          <w:tcPr>
            <w:tcW w:type="dxa" w:w="2592"/>
            <w:shd w:fill="1B3A6B" w:val="clear"/>
          </w:tcPr>
          <w:p>
            <w:pPr>
              <w:keepLines/>
            </w:pPr>
            <w:r>
              <w:rPr>
                <w:b/>
                <w:color w:val="FFFFFF"/>
                <w:sz w:val="20"/>
              </w:rPr>
              <w:t>Planning Period</w:t>
            </w:r>
          </w:p>
        </w:tc>
        <w:tc>
          <w:tcPr>
            <w:tcW w:type="dxa" w:w="6192"/>
          </w:tcPr>
          <w:p>
            <w:pPr>
              <w:keepLines/>
            </w:pPr>
            <w:r>
              <w:rPr>
                <w:sz w:val="19"/>
              </w:rPr>
              <w:t>Monthly time buckets. Defines the projection horizon (typically 36-60 months).</w:t>
            </w:r>
          </w:p>
        </w:tc>
      </w:tr>
      <w:tr>
        <w:tc>
          <w:tcPr>
            <w:tcW w:type="dxa" w:w="576"/>
            <w:shd w:fill="1565C0" w:val="clear"/>
          </w:tcPr>
          <w:p>
            <w:pPr>
              <w:jc w:val="center"/>
              <w:keepLines/>
            </w:pPr>
            <w:r>
              <w:rPr>
                <w:b/>
                <w:color w:val="FFFFFF"/>
                <w:sz w:val="22"/>
              </w:rPr>
              <w:t>5</w:t>
            </w:r>
          </w:p>
        </w:tc>
        <w:tc>
          <w:tcPr>
            <w:tcW w:type="dxa" w:w="2592"/>
            <w:shd w:fill="1565C0" w:val="clear"/>
          </w:tcPr>
          <w:p>
            <w:pPr>
              <w:keepLines/>
            </w:pPr>
            <w:r>
              <w:rPr>
                <w:b/>
                <w:color w:val="FFFFFF"/>
                <w:sz w:val="20"/>
              </w:rPr>
              <w:t>Commercial Drivers</w:t>
            </w:r>
          </w:p>
        </w:tc>
        <w:tc>
          <w:tcPr>
            <w:tcW w:type="dxa" w:w="6192"/>
          </w:tcPr>
          <w:p>
            <w:pPr>
              <w:keepLines/>
            </w:pPr>
            <w:r>
              <w:rPr>
                <w:sz w:val="19"/>
              </w:rPr>
              <w:t>Demand drivers, price plans, mix plans, platform mix, seasonality, elasticity.</w:t>
            </w:r>
          </w:p>
        </w:tc>
      </w:tr>
      <w:tr>
        <w:tc>
          <w:tcPr>
            <w:tcW w:type="dxa" w:w="576"/>
            <w:shd w:fill="2E7D32" w:val="clear"/>
          </w:tcPr>
          <w:p>
            <w:pPr>
              <w:jc w:val="center"/>
              <w:keepLines/>
            </w:pPr>
            <w:r>
              <w:rPr>
                <w:b/>
                <w:color w:val="FFFFFF"/>
                <w:sz w:val="22"/>
              </w:rPr>
              <w:t>6</w:t>
            </w:r>
          </w:p>
        </w:tc>
        <w:tc>
          <w:tcPr>
            <w:tcW w:type="dxa" w:w="2592"/>
            <w:shd w:fill="2E7D32" w:val="clear"/>
          </w:tcPr>
          <w:p>
            <w:pPr>
              <w:keepLines/>
            </w:pPr>
            <w:r>
              <w:rPr>
                <w:b/>
                <w:color w:val="FFFFFF"/>
                <w:sz w:val="20"/>
              </w:rPr>
              <w:t>Cost Drivers</w:t>
            </w:r>
          </w:p>
        </w:tc>
        <w:tc>
          <w:tcPr>
            <w:tcW w:type="dxa" w:w="6192"/>
          </w:tcPr>
          <w:p>
            <w:pPr>
              <w:keepLines/>
            </w:pPr>
            <w:r>
              <w:rPr>
                <w:sz w:val="19"/>
              </w:rPr>
              <w:t>Unit costs, labor models, opex plans, marketing plans, capex plans, working capital.</w:t>
            </w:r>
          </w:p>
        </w:tc>
      </w:tr>
      <w:tr>
        <w:tc>
          <w:tcPr>
            <w:tcW w:type="dxa" w:w="576"/>
            <w:shd w:fill="6A1B9A" w:val="clear"/>
          </w:tcPr>
          <w:p>
            <w:pPr>
              <w:jc w:val="center"/>
              <w:keepLines/>
            </w:pPr>
            <w:r>
              <w:rPr>
                <w:b/>
                <w:color w:val="FFFFFF"/>
                <w:sz w:val="22"/>
              </w:rPr>
              <w:t>7</w:t>
            </w:r>
          </w:p>
        </w:tc>
        <w:tc>
          <w:tcPr>
            <w:tcW w:type="dxa" w:w="2592"/>
            <w:shd w:fill="6A1B9A" w:val="clear"/>
          </w:tcPr>
          <w:p>
            <w:pPr>
              <w:keepLines/>
            </w:pPr>
            <w:r>
              <w:rPr>
                <w:b/>
                <w:color w:val="FFFFFF"/>
                <w:sz w:val="20"/>
              </w:rPr>
              <w:t>Funding Drivers</w:t>
            </w:r>
          </w:p>
        </w:tc>
        <w:tc>
          <w:tcPr>
            <w:tcW w:type="dxa" w:w="6192"/>
          </w:tcPr>
          <w:p>
            <w:pPr>
              <w:keepLines/>
            </w:pPr>
            <w:r>
              <w:rPr>
                <w:sz w:val="19"/>
              </w:rPr>
              <w:t>Equity rounds, debt facilities, repayment schedules, runway projections.</w:t>
            </w:r>
          </w:p>
        </w:tc>
      </w:tr>
      <w:tr>
        <w:tc>
          <w:tcPr>
            <w:tcW w:type="dxa" w:w="576"/>
            <w:shd w:fill="00695C" w:val="clear"/>
          </w:tcPr>
          <w:p>
            <w:pPr>
              <w:jc w:val="center"/>
              <w:keepLines/>
            </w:pPr>
            <w:r>
              <w:rPr>
                <w:b/>
                <w:color w:val="FFFFFF"/>
                <w:sz w:val="22"/>
              </w:rPr>
              <w:t>8</w:t>
            </w:r>
          </w:p>
        </w:tc>
        <w:tc>
          <w:tcPr>
            <w:tcW w:type="dxa" w:w="2592"/>
            <w:shd w:fill="00695C" w:val="clear"/>
          </w:tcPr>
          <w:p>
            <w:pPr>
              <w:keepLines/>
            </w:pPr>
            <w:r>
              <w:rPr>
                <w:b/>
                <w:color w:val="FFFFFF"/>
                <w:sz w:val="20"/>
              </w:rPr>
              <w:t>Financial Projections</w:t>
            </w:r>
          </w:p>
        </w:tc>
        <w:tc>
          <w:tcPr>
            <w:tcW w:type="dxa" w:w="6192"/>
          </w:tcPr>
          <w:p>
            <w:pPr>
              <w:keepLines/>
            </w:pPr>
            <w:r>
              <w:rPr>
                <w:sz w:val="19"/>
              </w:rPr>
              <w:t>P&amp;L, Cash Flow, Balance Sheet — computed monthly across all geographic levels.</w:t>
            </w:r>
          </w:p>
        </w:tc>
      </w:tr>
      <w:tr>
        <w:tc>
          <w:tcPr>
            <w:tcW w:type="dxa" w:w="576"/>
            <w:shd w:fill="F57F17" w:val="clear"/>
          </w:tcPr>
          <w:p>
            <w:pPr>
              <w:jc w:val="center"/>
              <w:keepLines/>
            </w:pPr>
            <w:r>
              <w:rPr>
                <w:b/>
                <w:color w:val="FFFFFF"/>
                <w:sz w:val="22"/>
              </w:rPr>
              <w:t>9</w:t>
            </w:r>
          </w:p>
        </w:tc>
        <w:tc>
          <w:tcPr>
            <w:tcW w:type="dxa" w:w="2592"/>
            <w:shd w:fill="F57F17" w:val="clear"/>
          </w:tcPr>
          <w:p>
            <w:pPr>
              <w:keepLines/>
            </w:pPr>
            <w:r>
              <w:rPr>
                <w:b/>
                <w:color w:val="FFFFFF"/>
                <w:sz w:val="20"/>
              </w:rPr>
              <w:t>KPI Layer</w:t>
            </w:r>
          </w:p>
        </w:tc>
        <w:tc>
          <w:tcPr>
            <w:tcW w:type="dxa" w:w="6192"/>
          </w:tcPr>
          <w:p>
            <w:pPr>
              <w:keepLines/>
            </w:pPr>
            <w:r>
              <w:rPr>
                <w:sz w:val="19"/>
              </w:rPr>
              <w:t>21 core KPIs derived from projections. Includes explainability bridges and variance analysis.</w:t>
            </w:r>
          </w:p>
        </w:tc>
      </w:tr>
      <w:tr>
        <w:tc>
          <w:tcPr>
            <w:tcW w:type="dxa" w:w="576"/>
            <w:shd w:fill="B71C1C" w:val="clear"/>
          </w:tcPr>
          <w:p>
            <w:pPr>
              <w:jc w:val="center"/>
              <w:keepLines/>
            </w:pPr>
            <w:r>
              <w:rPr>
                <w:b/>
                <w:color w:val="FFFFFF"/>
                <w:sz w:val="22"/>
              </w:rPr>
              <w:t>10</w:t>
            </w:r>
          </w:p>
        </w:tc>
        <w:tc>
          <w:tcPr>
            <w:tcW w:type="dxa" w:w="2592"/>
            <w:shd w:fill="B71C1C" w:val="clear"/>
          </w:tcPr>
          <w:p>
            <w:pPr>
              <w:keepLines/>
            </w:pPr>
            <w:r>
              <w:rPr>
                <w:b/>
                <w:color w:val="FFFFFF"/>
                <w:sz w:val="20"/>
              </w:rPr>
              <w:t>Risk Framework</w:t>
            </w:r>
          </w:p>
        </w:tc>
        <w:tc>
          <w:tcPr>
            <w:tcW w:type="dxa" w:w="6192"/>
          </w:tcPr>
          <w:p>
            <w:pPr>
              <w:keepLines/>
            </w:pPr>
            <w:r>
              <w:rPr>
                <w:sz w:val="19"/>
              </w:rPr>
              <w:t>Risk objects, sensitivity analysis, stress tests, and Monte Carlo simulations.</w:t>
            </w:r>
          </w:p>
        </w:tc>
      </w:tr>
      <w:tr>
        <w:tc>
          <w:tcPr>
            <w:tcW w:type="dxa" w:w="576"/>
            <w:shd w:fill="0277BD" w:val="clear"/>
          </w:tcPr>
          <w:p>
            <w:pPr>
              <w:jc w:val="center"/>
              <w:keepLines/>
            </w:pPr>
            <w:r>
              <w:rPr>
                <w:b/>
                <w:color w:val="FFFFFF"/>
                <w:sz w:val="22"/>
              </w:rPr>
              <w:t>11</w:t>
            </w:r>
          </w:p>
        </w:tc>
        <w:tc>
          <w:tcPr>
            <w:tcW w:type="dxa" w:w="2592"/>
            <w:shd w:fill="0277BD" w:val="clear"/>
          </w:tcPr>
          <w:p>
            <w:pPr>
              <w:keepLines/>
            </w:pPr>
            <w:r>
              <w:rPr>
                <w:b/>
                <w:color w:val="FFFFFF"/>
                <w:sz w:val="20"/>
              </w:rPr>
              <w:t>Decision Support</w:t>
            </w:r>
          </w:p>
        </w:tc>
        <w:tc>
          <w:tcPr>
            <w:tcW w:type="dxa" w:w="6192"/>
          </w:tcPr>
          <w:p>
            <w:pPr>
              <w:keepLines/>
            </w:pPr>
            <w:r>
              <w:rPr>
                <w:sz w:val="19"/>
              </w:rPr>
              <w:t>Simulators, scenario comparison, breakeven analysis, and approval workflows.</w:t>
            </w:r>
          </w:p>
        </w:tc>
      </w:tr>
      <w:tr>
        <w:tc>
          <w:tcPr>
            <w:tcW w:type="dxa" w:w="576"/>
            <w:shd w:fill="37474F" w:val="clear"/>
          </w:tcPr>
          <w:p>
            <w:pPr>
              <w:jc w:val="center"/>
              <w:keepLines/>
            </w:pPr>
            <w:r>
              <w:rPr>
                <w:b/>
                <w:color w:val="FFFFFF"/>
                <w:sz w:val="22"/>
              </w:rPr>
              <w:t>12</w:t>
            </w:r>
          </w:p>
        </w:tc>
        <w:tc>
          <w:tcPr>
            <w:tcW w:type="dxa" w:w="2592"/>
            <w:shd w:fill="37474F" w:val="clear"/>
          </w:tcPr>
          <w:p>
            <w:pPr>
              <w:keepLines/>
            </w:pPr>
            <w:r>
              <w:rPr>
                <w:b/>
                <w:color w:val="FFFFFF"/>
                <w:sz w:val="20"/>
              </w:rPr>
              <w:t>Portfolio Intelligence</w:t>
            </w:r>
          </w:p>
        </w:tc>
        <w:tc>
          <w:tcPr>
            <w:tcW w:type="dxa" w:w="6192"/>
          </w:tcPr>
          <w:p>
            <w:pPr>
              <w:keepLines/>
            </w:pPr>
            <w:r>
              <w:rPr>
                <w:sz w:val="19"/>
              </w:rPr>
              <w:t>Capital allocation ranking, expansion triggers, decision memory, learning loop.</w:t>
            </w:r>
          </w:p>
        </w:tc>
      </w:tr>
    </w:tbl>
    <w:p>
      <w:r>
        <w:br w:type="page"/>
      </w:r>
    </w:p>
    <w:p>
      <w:pPr>
        <w:pStyle w:val="Heading1"/>
        <w:keepNext/>
      </w:pPr>
      <w:r>
        <w:t>5. Scope Taxonomy Table</w:t>
      </w:r>
    </w:p>
    <w:p>
      <w:pPr>
        <w:spacing w:before="0" w:after="80"/>
        <w:jc w:val="left"/>
      </w:pPr>
      <w:r>
        <w:rPr>
          <w:b w:val="0"/>
          <w:i w:val="0"/>
          <w:sz w:val="20"/>
        </w:rPr>
        <w:t>Complete module catalog across all 9 architecture layers. Scope levels: Core v1 (must ship), Recommended v1.5 (next wave), Phase 2-3 (strategic expansion), Optional Extension (deferred operational detail).</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016"/>
            <w:shd w:fill="1B3A6B" w:val="clear"/>
          </w:tcPr>
          <w:p>
            <w:pPr>
              <w:keepLines/>
            </w:pPr>
            <w:r>
              <w:rPr>
                <w:b/>
                <w:color w:val="FFFFFF"/>
                <w:sz w:val="17"/>
              </w:rPr>
              <w:t>Module</w:t>
            </w:r>
          </w:p>
        </w:tc>
        <w:tc>
          <w:tcPr>
            <w:tcW w:type="dxa" w:w="720"/>
            <w:shd w:fill="1B3A6B" w:val="clear"/>
          </w:tcPr>
          <w:p>
            <w:pPr>
              <w:keepLines/>
            </w:pPr>
            <w:r>
              <w:rPr>
                <w:b/>
                <w:color w:val="FFFFFF"/>
                <w:sz w:val="17"/>
              </w:rPr>
              <w:t>Layer</w:t>
            </w:r>
          </w:p>
        </w:tc>
        <w:tc>
          <w:tcPr>
            <w:tcW w:type="dxa" w:w="1872"/>
            <w:shd w:fill="1B3A6B" w:val="clear"/>
          </w:tcPr>
          <w:p>
            <w:pPr>
              <w:keepLines/>
            </w:pPr>
            <w:r>
              <w:rPr>
                <w:b/>
                <w:color w:val="FFFFFF"/>
                <w:sz w:val="17"/>
              </w:rPr>
              <w:t>Scope Level</w:t>
            </w:r>
          </w:p>
        </w:tc>
        <w:tc>
          <w:tcPr>
            <w:tcW w:type="dxa" w:w="720"/>
            <w:shd w:fill="1B3A6B" w:val="clear"/>
          </w:tcPr>
          <w:p>
            <w:pPr>
              <w:keepLines/>
            </w:pPr>
            <w:r>
              <w:rPr>
                <w:b/>
                <w:color w:val="FFFFFF"/>
                <w:sz w:val="17"/>
              </w:rPr>
              <w:t>Priority</w:t>
            </w:r>
          </w:p>
        </w:tc>
        <w:tc>
          <w:tcPr>
            <w:tcW w:type="dxa" w:w="4032"/>
            <w:shd w:fill="1B3A6B" w:val="clear"/>
          </w:tcPr>
          <w:p>
            <w:pPr>
              <w:keepLines/>
            </w:pPr>
            <w:r>
              <w:rPr>
                <w:b/>
                <w:color w:val="FFFFFF"/>
                <w:sz w:val="17"/>
              </w:rPr>
              <w:t>Key Entities / Components</w:t>
            </w:r>
          </w:p>
        </w:tc>
      </w:tr>
      <w:tr>
        <w:tc>
          <w:tcPr>
            <w:tcW w:type="dxa" w:w="2016"/>
            <w:shd w:fill="1B3A6B" w:val="clear"/>
          </w:tcPr>
          <w:p>
            <w:pPr>
              <w:keepLines/>
            </w:pPr>
            <w:r>
              <w:rPr>
                <w:b/>
                <w:color w:val="FFFFFF"/>
                <w:sz w:val="18"/>
              </w:rPr>
              <w:t>Planning Spine &amp; Governance — Layer A</w:t>
            </w:r>
          </w:p>
        </w:tc>
        <w:tc>
          <w:tcPr>
            <w:tcW w:type="dxa" w:w="720"/>
            <w:shd w:fill="1B3A6B" w:val="clear"/>
          </w:tcPr>
          <w:p>
            <w:pPr>
              <w:keepLines/>
            </w:pPr>
            <w:r/>
          </w:p>
        </w:tc>
        <w:tc>
          <w:tcPr>
            <w:tcW w:type="dxa" w:w="1872"/>
            <w:shd w:fill="1B3A6B" w:val="clear"/>
          </w:tcPr>
          <w:p>
            <w:pPr>
              <w:keepLines/>
            </w:pPr>
            <w:r/>
          </w:p>
        </w:tc>
        <w:tc>
          <w:tcPr>
            <w:tcW w:type="dxa" w:w="720"/>
            <w:shd w:fill="1B3A6B" w:val="clear"/>
          </w:tcPr>
          <w:p>
            <w:pPr>
              <w:keepLines/>
            </w:pPr>
            <w:r/>
          </w:p>
        </w:tc>
        <w:tc>
          <w:tcPr>
            <w:tcW w:type="dxa" w:w="4032"/>
            <w:shd w:fill="1B3A6B" w:val="clear"/>
          </w:tcPr>
          <w:p>
            <w:pPr>
              <w:keepLines/>
            </w:pPr>
            <w:r/>
          </w:p>
        </w:tc>
      </w:tr>
      <w:tr>
        <w:tc>
          <w:tcPr>
            <w:tcW w:type="dxa" w:w="2016"/>
          </w:tcPr>
          <w:p>
            <w:pPr>
              <w:keepLines/>
            </w:pPr>
            <w:r>
              <w:rPr>
                <w:sz w:val="17"/>
              </w:rPr>
              <w:t>Planning Spine</w:t>
            </w:r>
          </w:p>
        </w:tc>
        <w:tc>
          <w:tcPr>
            <w:tcW w:type="dxa" w:w="720"/>
          </w:tcPr>
          <w:p>
            <w:pPr>
              <w:keepLines/>
            </w:pPr>
            <w:r>
              <w:rPr>
                <w:sz w:val="17"/>
              </w:rPr>
              <w:t>A</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Company, Scenario, AssumptionSet, PlanningCalendar, PlanningPeriod</w:t>
            </w:r>
          </w:p>
        </w:tc>
      </w:tr>
      <w:tr>
        <w:tc>
          <w:tcPr>
            <w:tcW w:type="dxa" w:w="2016"/>
          </w:tcPr>
          <w:p>
            <w:pPr>
              <w:keepLines/>
            </w:pPr>
            <w:r>
              <w:rPr>
                <w:sz w:val="17"/>
              </w:rPr>
              <w:t>Plan Versioning</w:t>
            </w:r>
          </w:p>
        </w:tc>
        <w:tc>
          <w:tcPr>
            <w:tcW w:type="dxa" w:w="720"/>
          </w:tcPr>
          <w:p>
            <w:pPr>
              <w:keepLines/>
            </w:pPr>
            <w:r>
              <w:rPr>
                <w:sz w:val="17"/>
              </w:rPr>
              <w:t>A</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PlanVersion (Budget/Forecast/Reforecast/Board), FrozenFlag, PublishedAt</w:t>
            </w:r>
          </w:p>
        </w:tc>
      </w:tr>
      <w:tr>
        <w:tc>
          <w:tcPr>
            <w:tcW w:type="dxa" w:w="2016"/>
          </w:tcPr>
          <w:p>
            <w:pPr>
              <w:keepLines/>
            </w:pPr>
            <w:r>
              <w:rPr>
                <w:sz w:val="17"/>
              </w:rPr>
              <w:t>Assumption Confidence</w:t>
            </w:r>
          </w:p>
        </w:tc>
        <w:tc>
          <w:tcPr>
            <w:tcW w:type="dxa" w:w="720"/>
          </w:tcPr>
          <w:p>
            <w:pPr>
              <w:keepLines/>
            </w:pPr>
            <w:r>
              <w:rPr>
                <w:sz w:val="17"/>
              </w:rPr>
              <w:t>A</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ConfidenceLevel, EvidenceSource, Owner, ReviewCadence, VolatilityClass</w:t>
            </w:r>
          </w:p>
        </w:tc>
      </w:tr>
      <w:tr>
        <w:tc>
          <w:tcPr>
            <w:tcW w:type="dxa" w:w="2016"/>
          </w:tcPr>
          <w:p>
            <w:pPr>
              <w:keepLines/>
            </w:pPr>
            <w:r>
              <w:rPr>
                <w:sz w:val="17"/>
              </w:rPr>
              <w:t>Governance &amp; Approvals</w:t>
            </w:r>
          </w:p>
        </w:tc>
        <w:tc>
          <w:tcPr>
            <w:tcW w:type="dxa" w:w="720"/>
          </w:tcPr>
          <w:p>
            <w:pPr>
              <w:keepLines/>
            </w:pPr>
            <w:r>
              <w:rPr>
                <w:sz w:val="17"/>
              </w:rPr>
              <w:t>A</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ApprovalWorkflow (Draft→Review→Approved→Published→Frozen), AuditTrail, ChangeLog</w:t>
            </w:r>
          </w:p>
        </w:tc>
      </w:tr>
      <w:tr>
        <w:tc>
          <w:tcPr>
            <w:tcW w:type="dxa" w:w="2016"/>
            <w:shd w:fill="1565C0" w:val="clear"/>
          </w:tcPr>
          <w:p>
            <w:pPr>
              <w:keepLines/>
            </w:pPr>
            <w:r>
              <w:rPr>
                <w:b/>
                <w:color w:val="FFFFFF"/>
                <w:sz w:val="18"/>
              </w:rPr>
              <w:t>Commercial Driver Engine — Layer B</w:t>
            </w:r>
          </w:p>
        </w:tc>
        <w:tc>
          <w:tcPr>
            <w:tcW w:type="dxa" w:w="720"/>
            <w:shd w:fill="1565C0" w:val="clear"/>
          </w:tcPr>
          <w:p>
            <w:pPr>
              <w:keepLines/>
            </w:pPr>
            <w:r/>
          </w:p>
        </w:tc>
        <w:tc>
          <w:tcPr>
            <w:tcW w:type="dxa" w:w="1872"/>
            <w:shd w:fill="1565C0" w:val="clear"/>
          </w:tcPr>
          <w:p>
            <w:pPr>
              <w:keepLines/>
            </w:pPr>
            <w:r/>
          </w:p>
        </w:tc>
        <w:tc>
          <w:tcPr>
            <w:tcW w:type="dxa" w:w="720"/>
            <w:shd w:fill="1565C0" w:val="clear"/>
          </w:tcPr>
          <w:p>
            <w:pPr>
              <w:keepLines/>
            </w:pPr>
            <w:r/>
          </w:p>
        </w:tc>
        <w:tc>
          <w:tcPr>
            <w:tcW w:type="dxa" w:w="4032"/>
            <w:shd w:fill="1565C0" w:val="clear"/>
          </w:tcPr>
          <w:p>
            <w:pPr>
              <w:keepLines/>
            </w:pPr>
            <w:r/>
          </w:p>
        </w:tc>
      </w:tr>
      <w:tr>
        <w:tc>
          <w:tcPr>
            <w:tcW w:type="dxa" w:w="2016"/>
          </w:tcPr>
          <w:p>
            <w:pPr>
              <w:keepLines/>
            </w:pPr>
            <w:r>
              <w:rPr>
                <w:sz w:val="17"/>
              </w:rPr>
              <w:t>Revenue Streams</w:t>
            </w:r>
          </w:p>
        </w:tc>
        <w:tc>
          <w:tcPr>
            <w:tcW w:type="dxa" w:w="720"/>
          </w:tcPr>
          <w:p>
            <w:pPr>
              <w:keepLines/>
            </w:pPr>
            <w:r>
              <w:rPr>
                <w:sz w:val="17"/>
              </w:rPr>
              <w:t>B</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Platform Delivery (per platform), Own-Channel Delivery, Catering/B2B; Commission rates by stream</w:t>
            </w:r>
          </w:p>
        </w:tc>
      </w:tr>
      <w:tr>
        <w:tc>
          <w:tcPr>
            <w:tcW w:type="dxa" w:w="2016"/>
          </w:tcPr>
          <w:p>
            <w:pPr>
              <w:keepLines/>
            </w:pPr>
            <w:r>
              <w:rPr>
                <w:sz w:val="17"/>
              </w:rPr>
              <w:t>Product &amp; Menu Hierarchy</w:t>
            </w:r>
          </w:p>
        </w:tc>
        <w:tc>
          <w:tcPr>
            <w:tcW w:type="dxa" w:w="720"/>
          </w:tcPr>
          <w:p>
            <w:pPr>
              <w:keepLines/>
            </w:pPr>
            <w:r>
              <w:rPr>
                <w:sz w:val="17"/>
              </w:rPr>
              <w:t>B</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Menu → Collection → Category → Product → ProductFamily; Menu versioning per platform/market</w:t>
            </w:r>
          </w:p>
        </w:tc>
      </w:tr>
      <w:tr>
        <w:tc>
          <w:tcPr>
            <w:tcW w:type="dxa" w:w="2016"/>
          </w:tcPr>
          <w:p>
            <w:pPr>
              <w:keepLines/>
            </w:pPr>
            <w:r>
              <w:rPr>
                <w:sz w:val="17"/>
              </w:rPr>
              <w:t>Product Variants</w:t>
            </w:r>
          </w:p>
        </w:tc>
        <w:tc>
          <w:tcPr>
            <w:tcW w:type="dxa" w:w="720"/>
          </w:tcPr>
          <w:p>
            <w:pPr>
              <w:keepLines/>
            </w:pPr>
            <w:r>
              <w:rPr>
                <w:sz w:val="17"/>
              </w:rPr>
              <w:t>B</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Variant (Size/Crust), VariantPrice, VariantCOGS — only where unit economics differ materially</w:t>
            </w:r>
          </w:p>
        </w:tc>
      </w:tr>
      <w:tr>
        <w:tc>
          <w:tcPr>
            <w:tcW w:type="dxa" w:w="2016"/>
          </w:tcPr>
          <w:p>
            <w:pPr>
              <w:keepLines/>
            </w:pPr>
            <w:r>
              <w:rPr>
                <w:sz w:val="17"/>
              </w:rPr>
              <w:t>Demand Drivers</w:t>
            </w:r>
          </w:p>
        </w:tc>
        <w:tc>
          <w:tcPr>
            <w:tcW w:type="dxa" w:w="720"/>
          </w:tcPr>
          <w:p>
            <w:pPr>
              <w:keepLines/>
            </w:pPr>
            <w:r>
              <w:rPr>
                <w:sz w:val="17"/>
              </w:rPr>
              <w:t>B</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BaselineOrders, MonthlyGrowthRate, RampCurve (Day1→SteadyState), MarketRampMonths</w:t>
            </w:r>
          </w:p>
        </w:tc>
      </w:tr>
      <w:tr>
        <w:tc>
          <w:tcPr>
            <w:tcW w:type="dxa" w:w="2016"/>
          </w:tcPr>
          <w:p>
            <w:pPr>
              <w:keepLines/>
            </w:pPr>
            <w:r>
              <w:rPr>
                <w:sz w:val="17"/>
              </w:rPr>
              <w:t>Price Plan</w:t>
            </w:r>
          </w:p>
        </w:tc>
        <w:tc>
          <w:tcPr>
            <w:tcW w:type="dxa" w:w="720"/>
          </w:tcPr>
          <w:p>
            <w:pPr>
              <w:keepLines/>
            </w:pPr>
            <w:r>
              <w:rPr>
                <w:sz w:val="17"/>
              </w:rPr>
              <w:t>B</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GrossListPrice, DiscountRate%, NetRealizedPrice, Platform-specific pricing uplift, PromoPrice</w:t>
            </w:r>
          </w:p>
        </w:tc>
      </w:tr>
      <w:tr>
        <w:tc>
          <w:tcPr>
            <w:tcW w:type="dxa" w:w="2016"/>
          </w:tcPr>
          <w:p>
            <w:pPr>
              <w:keepLines/>
            </w:pPr>
            <w:r>
              <w:rPr>
                <w:sz w:val="17"/>
              </w:rPr>
              <w:t>Mix Plan</w:t>
            </w:r>
          </w:p>
        </w:tc>
        <w:tc>
          <w:tcPr>
            <w:tcW w:type="dxa" w:w="720"/>
          </w:tcPr>
          <w:p>
            <w:pPr>
              <w:keepLines/>
            </w:pPr>
            <w:r>
              <w:rPr>
                <w:sz w:val="17"/>
              </w:rPr>
              <w:t>B</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ProductFamilyMix%, PlatformMix%, MarketMix%, ChannelMix%, CategoryMix%</w:t>
            </w:r>
          </w:p>
        </w:tc>
      </w:tr>
      <w:tr>
        <w:tc>
          <w:tcPr>
            <w:tcW w:type="dxa" w:w="2016"/>
          </w:tcPr>
          <w:p>
            <w:pPr>
              <w:keepLines/>
            </w:pPr>
            <w:r>
              <w:rPr>
                <w:sz w:val="17"/>
              </w:rPr>
              <w:t>Price Elasticity</w:t>
            </w:r>
          </w:p>
        </w:tc>
        <w:tc>
          <w:tcPr>
            <w:tcW w:type="dxa" w:w="720"/>
          </w:tcPr>
          <w:p>
            <w:pPr>
              <w:keepLines/>
            </w:pPr>
            <w:r>
              <w:rPr>
                <w:sz w:val="17"/>
              </w:rPr>
              <w:t>B</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ElasticityCoefficient, CrossPriceElasticity, PlatformDiscountElasticity, DeliveryFeeElasticity</w:t>
            </w:r>
          </w:p>
        </w:tc>
      </w:tr>
      <w:tr>
        <w:tc>
          <w:tcPr>
            <w:tcW w:type="dxa" w:w="2016"/>
          </w:tcPr>
          <w:p>
            <w:pPr>
              <w:keepLines/>
            </w:pPr>
            <w:r>
              <w:rPr>
                <w:sz w:val="17"/>
              </w:rPr>
              <w:t>Seasonality Profiles</w:t>
            </w:r>
          </w:p>
        </w:tc>
        <w:tc>
          <w:tcPr>
            <w:tcW w:type="dxa" w:w="720"/>
          </w:tcPr>
          <w:p>
            <w:pPr>
              <w:keepLines/>
            </w:pPr>
            <w:r>
              <w:rPr>
                <w:sz w:val="17"/>
              </w:rPr>
              <w:t>B</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Monthly12Index, Weekly7Index, HourlyDemandCurve, EventCalendar (Ramadan, Holidays), WeatherFactor</w:t>
            </w:r>
          </w:p>
        </w:tc>
      </w:tr>
      <w:tr>
        <w:tc>
          <w:tcPr>
            <w:tcW w:type="dxa" w:w="2016"/>
          </w:tcPr>
          <w:p>
            <w:pPr>
              <w:keepLines/>
            </w:pPr>
            <w:r>
              <w:rPr>
                <w:sz w:val="17"/>
              </w:rPr>
              <w:t>Customer Acquisition</w:t>
            </w:r>
          </w:p>
        </w:tc>
        <w:tc>
          <w:tcPr>
            <w:tcW w:type="dxa" w:w="720"/>
          </w:tcPr>
          <w:p>
            <w:pPr>
              <w:keepLines/>
            </w:pPr>
            <w:r>
              <w:rPr>
                <w:sz w:val="17"/>
              </w:rPr>
              <w:t>B</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NewCustomers/Month, ActivationRate%, CAC per channel, OrganicVsPaidSplit</w:t>
            </w:r>
          </w:p>
        </w:tc>
      </w:tr>
      <w:tr>
        <w:tc>
          <w:tcPr>
            <w:tcW w:type="dxa" w:w="2016"/>
          </w:tcPr>
          <w:p>
            <w:pPr>
              <w:keepLines/>
            </w:pPr>
            <w:r>
              <w:rPr>
                <w:sz w:val="17"/>
              </w:rPr>
              <w:t>Retention &amp; Churn</w:t>
            </w:r>
          </w:p>
        </w:tc>
        <w:tc>
          <w:tcPr>
            <w:tcW w:type="dxa" w:w="720"/>
          </w:tcPr>
          <w:p>
            <w:pPr>
              <w:keepLines/>
            </w:pPr>
            <w:r>
              <w:rPr>
                <w:sz w:val="17"/>
              </w:rPr>
              <w:t>B</w:t>
            </w:r>
          </w:p>
        </w:tc>
        <w:tc>
          <w:tcPr>
            <w:tcW w:type="dxa" w:w="1872"/>
          </w:tcPr>
          <w:p>
            <w:pPr>
              <w:keepLines/>
            </w:pPr>
            <w:r>
              <w:rPr>
                <w:b/>
                <w:color w:val="E65100"/>
                <w:sz w:val="17"/>
              </w:rPr>
              <w:t>Phase 2-3</w:t>
            </w:r>
          </w:p>
        </w:tc>
        <w:tc>
          <w:tcPr>
            <w:tcW w:type="dxa" w:w="720"/>
          </w:tcPr>
          <w:p>
            <w:pPr>
              <w:keepLines/>
            </w:pPr>
            <w:r>
              <w:rPr>
                <w:sz w:val="17"/>
              </w:rPr>
              <w:t>P2</w:t>
            </w:r>
          </w:p>
        </w:tc>
        <w:tc>
          <w:tcPr>
            <w:tcW w:type="dxa" w:w="4032"/>
          </w:tcPr>
          <w:p>
            <w:pPr>
              <w:keepLines/>
            </w:pPr>
            <w:r>
              <w:rPr>
                <w:sz w:val="17"/>
              </w:rPr>
              <w:t>CohortRetentionCurve, ChurnRate%, ReactivationRate, OrderFrequency/ActiveCustomer</w:t>
            </w:r>
          </w:p>
        </w:tc>
      </w:tr>
      <w:tr>
        <w:tc>
          <w:tcPr>
            <w:tcW w:type="dxa" w:w="2016"/>
          </w:tcPr>
          <w:p>
            <w:pPr>
              <w:keepLines/>
            </w:pPr>
            <w:r>
              <w:rPr>
                <w:sz w:val="17"/>
              </w:rPr>
              <w:t>CLV &amp; Penetration</w:t>
            </w:r>
          </w:p>
        </w:tc>
        <w:tc>
          <w:tcPr>
            <w:tcW w:type="dxa" w:w="720"/>
          </w:tcPr>
          <w:p>
            <w:pPr>
              <w:keepLines/>
            </w:pPr>
            <w:r>
              <w:rPr>
                <w:sz w:val="17"/>
              </w:rPr>
              <w:t>B</w:t>
            </w:r>
          </w:p>
        </w:tc>
        <w:tc>
          <w:tcPr>
            <w:tcW w:type="dxa" w:w="1872"/>
          </w:tcPr>
          <w:p>
            <w:pPr>
              <w:keepLines/>
            </w:pPr>
            <w:r>
              <w:rPr>
                <w:b/>
                <w:color w:val="E65100"/>
                <w:sz w:val="17"/>
              </w:rPr>
              <w:t>Phase 2-3</w:t>
            </w:r>
          </w:p>
        </w:tc>
        <w:tc>
          <w:tcPr>
            <w:tcW w:type="dxa" w:w="720"/>
          </w:tcPr>
          <w:p>
            <w:pPr>
              <w:keepLines/>
            </w:pPr>
            <w:r>
              <w:rPr>
                <w:sz w:val="17"/>
              </w:rPr>
              <w:t>P2</w:t>
            </w:r>
          </w:p>
        </w:tc>
        <w:tc>
          <w:tcPr>
            <w:tcW w:type="dxa" w:w="4032"/>
          </w:tcPr>
          <w:p>
            <w:pPr>
              <w:keepLines/>
            </w:pPr>
            <w:r>
              <w:rPr>
                <w:sz w:val="17"/>
              </w:rPr>
              <w:t>CustomerLifetimeValue, CLV:CAC Ratio, AddressableCustomers, PenetrationRate%</w:t>
            </w:r>
          </w:p>
        </w:tc>
      </w:tr>
      <w:tr>
        <w:tc>
          <w:tcPr>
            <w:tcW w:type="dxa" w:w="2016"/>
          </w:tcPr>
          <w:p>
            <w:pPr>
              <w:keepLines/>
            </w:pPr>
            <w:r>
              <w:rPr>
                <w:sz w:val="17"/>
              </w:rPr>
              <w:t>Platform &amp; Channel Dynamics</w:t>
            </w:r>
          </w:p>
        </w:tc>
        <w:tc>
          <w:tcPr>
            <w:tcW w:type="dxa" w:w="720"/>
          </w:tcPr>
          <w:p>
            <w:pPr>
              <w:keepLines/>
            </w:pPr>
            <w:r>
              <w:rPr>
                <w:sz w:val="17"/>
              </w:rPr>
              <w:t>B</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PlatformID (Talabat/Deliveroo/UberEats/etc.), CommissionRate%, PayoutFrequency, RankingImpact</w:t>
            </w:r>
          </w:p>
        </w:tc>
      </w:tr>
      <w:tr>
        <w:tc>
          <w:tcPr>
            <w:tcW w:type="dxa" w:w="2016"/>
            <w:shd w:fill="2E7D32" w:val="clear"/>
          </w:tcPr>
          <w:p>
            <w:pPr>
              <w:keepLines/>
            </w:pPr>
            <w:r>
              <w:rPr>
                <w:b/>
                <w:color w:val="FFFFFF"/>
                <w:sz w:val="18"/>
              </w:rPr>
              <w:t>Cost Driver Engine — Layer C</w:t>
            </w:r>
          </w:p>
        </w:tc>
        <w:tc>
          <w:tcPr>
            <w:tcW w:type="dxa" w:w="720"/>
            <w:shd w:fill="2E7D32" w:val="clear"/>
          </w:tcPr>
          <w:p>
            <w:pPr>
              <w:keepLines/>
            </w:pPr>
            <w:r/>
          </w:p>
        </w:tc>
        <w:tc>
          <w:tcPr>
            <w:tcW w:type="dxa" w:w="1872"/>
            <w:shd w:fill="2E7D32" w:val="clear"/>
          </w:tcPr>
          <w:p>
            <w:pPr>
              <w:keepLines/>
            </w:pPr>
            <w:r/>
          </w:p>
        </w:tc>
        <w:tc>
          <w:tcPr>
            <w:tcW w:type="dxa" w:w="720"/>
            <w:shd w:fill="2E7D32" w:val="clear"/>
          </w:tcPr>
          <w:p>
            <w:pPr>
              <w:keepLines/>
            </w:pPr>
            <w:r/>
          </w:p>
        </w:tc>
        <w:tc>
          <w:tcPr>
            <w:tcW w:type="dxa" w:w="4032"/>
            <w:shd w:fill="2E7D32" w:val="clear"/>
          </w:tcPr>
          <w:p>
            <w:pPr>
              <w:keepLines/>
            </w:pPr>
            <w:r/>
          </w:p>
        </w:tc>
      </w:tr>
      <w:tr>
        <w:tc>
          <w:tcPr>
            <w:tcW w:type="dxa" w:w="2016"/>
          </w:tcPr>
          <w:p>
            <w:pPr>
              <w:keepLines/>
            </w:pPr>
            <w:r>
              <w:rPr>
                <w:sz w:val="17"/>
              </w:rPr>
              <w:t>Unit Cost Profile</w:t>
            </w:r>
          </w:p>
        </w:tc>
        <w:tc>
          <w:tcPr>
            <w:tcW w:type="dxa" w:w="720"/>
          </w:tcPr>
          <w:p>
            <w:pPr>
              <w:keepLines/>
            </w:pPr>
            <w:r>
              <w:rPr>
                <w:sz w:val="17"/>
              </w:rPr>
              <w:t>C</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FoodCost%, PackagingCostPerOrder, VariablePlatformFees, WastageFactor%, SpoilageRate%</w:t>
            </w:r>
          </w:p>
        </w:tc>
      </w:tr>
      <w:tr>
        <w:tc>
          <w:tcPr>
            <w:tcW w:type="dxa" w:w="2016"/>
          </w:tcPr>
          <w:p>
            <w:pPr>
              <w:keepLines/>
            </w:pPr>
            <w:r>
              <w:rPr>
                <w:sz w:val="17"/>
              </w:rPr>
              <w:t>Ingredient BOM</w:t>
            </w:r>
          </w:p>
        </w:tc>
        <w:tc>
          <w:tcPr>
            <w:tcW w:type="dxa" w:w="720"/>
          </w:tcPr>
          <w:p>
            <w:pPr>
              <w:keepLines/>
            </w:pPr>
            <w:r>
              <w:rPr>
                <w:sz w:val="17"/>
              </w:rPr>
              <w:t>C</w:t>
            </w:r>
          </w:p>
        </w:tc>
        <w:tc>
          <w:tcPr>
            <w:tcW w:type="dxa" w:w="1872"/>
          </w:tcPr>
          <w:p>
            <w:pPr>
              <w:keepLines/>
            </w:pPr>
            <w:r>
              <w:rPr>
                <w:b/>
                <w:color w:val="E65100"/>
                <w:sz w:val="17"/>
              </w:rPr>
              <w:t>Phase 2-3</w:t>
            </w:r>
          </w:p>
        </w:tc>
        <w:tc>
          <w:tcPr>
            <w:tcW w:type="dxa" w:w="720"/>
          </w:tcPr>
          <w:p>
            <w:pPr>
              <w:keepLines/>
            </w:pPr>
            <w:r>
              <w:rPr>
                <w:sz w:val="17"/>
              </w:rPr>
              <w:t>P2</w:t>
            </w:r>
          </w:p>
        </w:tc>
        <w:tc>
          <w:tcPr>
            <w:tcW w:type="dxa" w:w="4032"/>
          </w:tcPr>
          <w:p>
            <w:pPr>
              <w:keepLines/>
            </w:pPr>
            <w:r>
              <w:rPr>
                <w:sz w:val="17"/>
              </w:rPr>
              <w:t>IngredientList, QuantityPerVariant, UnitCost, Supplier, Wastage%; commodity price sensitivity</w:t>
            </w:r>
          </w:p>
        </w:tc>
      </w:tr>
      <w:tr>
        <w:tc>
          <w:tcPr>
            <w:tcW w:type="dxa" w:w="2016"/>
          </w:tcPr>
          <w:p>
            <w:pPr>
              <w:keepLines/>
            </w:pPr>
            <w:r>
              <w:rPr>
                <w:sz w:val="17"/>
              </w:rPr>
              <w:t>Labor Model</w:t>
            </w:r>
          </w:p>
        </w:tc>
        <w:tc>
          <w:tcPr>
            <w:tcW w:type="dxa" w:w="720"/>
          </w:tcPr>
          <w:p>
            <w:pPr>
              <w:keepLines/>
            </w:pPr>
            <w:r>
              <w:rPr>
                <w:sz w:val="17"/>
              </w:rPr>
              <w:t>C</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RoleDefinitions, FixedPay, VariablePay, BenefitsLoad, AnnualIncrementRate, ProductivityRamp</w:t>
            </w:r>
          </w:p>
        </w:tc>
      </w:tr>
      <w:tr>
        <w:tc>
          <w:tcPr>
            <w:tcW w:type="dxa" w:w="2016"/>
          </w:tcPr>
          <w:p>
            <w:pPr>
              <w:keepLines/>
            </w:pPr>
            <w:r>
              <w:rPr>
                <w:sz w:val="17"/>
              </w:rPr>
              <w:t>Headcount Plan &amp; Triggers</w:t>
            </w:r>
          </w:p>
        </w:tc>
        <w:tc>
          <w:tcPr>
            <w:tcW w:type="dxa" w:w="720"/>
          </w:tcPr>
          <w:p>
            <w:pPr>
              <w:keepLines/>
            </w:pPr>
            <w:r>
              <w:rPr>
                <w:sz w:val="17"/>
              </w:rPr>
              <w:t>C</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HiringSequence, HiringTriggers (volume/utilization thresholds), HeadcountByMonth, TurnoverRate</w:t>
            </w:r>
          </w:p>
        </w:tc>
      </w:tr>
      <w:tr>
        <w:tc>
          <w:tcPr>
            <w:tcW w:type="dxa" w:w="2016"/>
          </w:tcPr>
          <w:p>
            <w:pPr>
              <w:keepLines/>
            </w:pPr>
            <w:r>
              <w:rPr>
                <w:sz w:val="17"/>
              </w:rPr>
              <w:t>Opex Plan</w:t>
            </w:r>
          </w:p>
        </w:tc>
        <w:tc>
          <w:tcPr>
            <w:tcW w:type="dxa" w:w="720"/>
          </w:tcPr>
          <w:p>
            <w:pPr>
              <w:keepLines/>
            </w:pPr>
            <w:r>
              <w:rPr>
                <w:sz w:val="17"/>
              </w:rPr>
              <w:t>C</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Rent, Utilities, Software, Admin, Insurance, Maintenance; Fixed/Variable/SemiVariable classification</w:t>
            </w:r>
          </w:p>
        </w:tc>
      </w:tr>
      <w:tr>
        <w:tc>
          <w:tcPr>
            <w:tcW w:type="dxa" w:w="2016"/>
          </w:tcPr>
          <w:p>
            <w:pPr>
              <w:keepLines/>
            </w:pPr>
            <w:r>
              <w:rPr>
                <w:sz w:val="17"/>
              </w:rPr>
              <w:t>Marketing Plan</w:t>
            </w:r>
          </w:p>
        </w:tc>
        <w:tc>
          <w:tcPr>
            <w:tcW w:type="dxa" w:w="720"/>
          </w:tcPr>
          <w:p>
            <w:pPr>
              <w:keepLines/>
            </w:pPr>
            <w:r>
              <w:rPr>
                <w:sz w:val="17"/>
              </w:rPr>
              <w:t>C</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Channels, CampaignTypes, SpendByPhase, CAC, PromoFunding, PlatformPromoCost, ResponseCurve</w:t>
            </w:r>
          </w:p>
        </w:tc>
      </w:tr>
      <w:tr>
        <w:tc>
          <w:tcPr>
            <w:tcW w:type="dxa" w:w="2016"/>
          </w:tcPr>
          <w:p>
            <w:pPr>
              <w:keepLines/>
            </w:pPr>
            <w:r>
              <w:rPr>
                <w:sz w:val="17"/>
              </w:rPr>
              <w:t>Capex Plan</w:t>
            </w:r>
          </w:p>
        </w:tc>
        <w:tc>
          <w:tcPr>
            <w:tcW w:type="dxa" w:w="720"/>
          </w:tcPr>
          <w:p>
            <w:pPr>
              <w:keepLines/>
            </w:pPr>
            <w:r>
              <w:rPr>
                <w:sz w:val="17"/>
              </w:rPr>
              <w:t>C</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KitchenFitOut, EquipmentList, ExpansionLevels (L0-L4), DepreciationSchedule, SetupTimeline</w:t>
            </w:r>
          </w:p>
        </w:tc>
      </w:tr>
      <w:tr>
        <w:tc>
          <w:tcPr>
            <w:tcW w:type="dxa" w:w="2016"/>
          </w:tcPr>
          <w:p>
            <w:pPr>
              <w:keepLines/>
            </w:pPr>
            <w:r>
              <w:rPr>
                <w:sz w:val="17"/>
              </w:rPr>
              <w:t>Working Capital Policy</w:t>
            </w:r>
          </w:p>
        </w:tc>
        <w:tc>
          <w:tcPr>
            <w:tcW w:type="dxa" w:w="720"/>
          </w:tcPr>
          <w:p>
            <w:pPr>
              <w:keepLines/>
            </w:pPr>
            <w:r>
              <w:rPr>
                <w:sz w:val="17"/>
              </w:rPr>
              <w:t>C</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InventoryCoverDays, PayablesDays, PlatformSettlementLag, MinCashBuffer</w:t>
            </w:r>
          </w:p>
        </w:tc>
      </w:tr>
      <w:tr>
        <w:tc>
          <w:tcPr>
            <w:tcW w:type="dxa" w:w="2016"/>
          </w:tcPr>
          <w:p>
            <w:pPr>
              <w:keepLines/>
            </w:pPr>
            <w:r>
              <w:rPr>
                <w:sz w:val="17"/>
              </w:rPr>
              <w:t>Cost Escalation</w:t>
            </w:r>
          </w:p>
        </w:tc>
        <w:tc>
          <w:tcPr>
            <w:tcW w:type="dxa" w:w="720"/>
          </w:tcPr>
          <w:p>
            <w:pPr>
              <w:keepLines/>
            </w:pPr>
            <w:r>
              <w:rPr>
                <w:sz w:val="17"/>
              </w:rPr>
              <w:t>C</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AnnualInflationByCategory, SupplierContractTerms, RentEscalationClause, WageInflationRate</w:t>
            </w:r>
          </w:p>
        </w:tc>
      </w:tr>
      <w:tr>
        <w:tc>
          <w:tcPr>
            <w:tcW w:type="dxa" w:w="2016"/>
          </w:tcPr>
          <w:p>
            <w:pPr>
              <w:keepLines/>
            </w:pPr>
            <w:r>
              <w:rPr>
                <w:sz w:val="17"/>
              </w:rPr>
              <w:t>Capacity Model</w:t>
            </w:r>
          </w:p>
        </w:tc>
        <w:tc>
          <w:tcPr>
            <w:tcW w:type="dxa" w:w="720"/>
          </w:tcPr>
          <w:p>
            <w:pPr>
              <w:keepLines/>
            </w:pPr>
            <w:r>
              <w:rPr>
                <w:sz w:val="17"/>
              </w:rPr>
              <w:t>C</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KitchenFormat, TheoreticalCapacity, PracticalCapacity, ExpansionLevels, UtilizationThresholds</w:t>
            </w:r>
          </w:p>
        </w:tc>
      </w:tr>
      <w:tr>
        <w:tc>
          <w:tcPr>
            <w:tcW w:type="dxa" w:w="2016"/>
            <w:shd w:fill="6A1B9A" w:val="clear"/>
          </w:tcPr>
          <w:p>
            <w:pPr>
              <w:keepLines/>
            </w:pPr>
            <w:r>
              <w:rPr>
                <w:b/>
                <w:color w:val="FFFFFF"/>
                <w:sz w:val="18"/>
              </w:rPr>
              <w:t>Funding &amp; Capital Strategy — Layer D</w:t>
            </w:r>
          </w:p>
        </w:tc>
        <w:tc>
          <w:tcPr>
            <w:tcW w:type="dxa" w:w="720"/>
            <w:shd w:fill="6A1B9A" w:val="clear"/>
          </w:tcPr>
          <w:p>
            <w:pPr>
              <w:keepLines/>
            </w:pPr>
            <w:r/>
          </w:p>
        </w:tc>
        <w:tc>
          <w:tcPr>
            <w:tcW w:type="dxa" w:w="1872"/>
            <w:shd w:fill="6A1B9A" w:val="clear"/>
          </w:tcPr>
          <w:p>
            <w:pPr>
              <w:keepLines/>
            </w:pPr>
            <w:r/>
          </w:p>
        </w:tc>
        <w:tc>
          <w:tcPr>
            <w:tcW w:type="dxa" w:w="720"/>
            <w:shd w:fill="6A1B9A" w:val="clear"/>
          </w:tcPr>
          <w:p>
            <w:pPr>
              <w:keepLines/>
            </w:pPr>
            <w:r/>
          </w:p>
        </w:tc>
        <w:tc>
          <w:tcPr>
            <w:tcW w:type="dxa" w:w="4032"/>
            <w:shd w:fill="6A1B9A" w:val="clear"/>
          </w:tcPr>
          <w:p>
            <w:pPr>
              <w:keepLines/>
            </w:pPr>
            <w:r/>
          </w:p>
        </w:tc>
      </w:tr>
      <w:tr>
        <w:tc>
          <w:tcPr>
            <w:tcW w:type="dxa" w:w="2016"/>
          </w:tcPr>
          <w:p>
            <w:pPr>
              <w:keepLines/>
            </w:pPr>
            <w:r>
              <w:rPr>
                <w:sz w:val="17"/>
              </w:rPr>
              <w:t>Funding Rounds</w:t>
            </w:r>
          </w:p>
        </w:tc>
        <w:tc>
          <w:tcPr>
            <w:tcW w:type="dxa" w:w="720"/>
          </w:tcPr>
          <w:p>
            <w:pPr>
              <w:keepLines/>
            </w:pPr>
            <w:r>
              <w:rPr>
                <w:sz w:val="17"/>
              </w:rPr>
              <w:t>D</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RoundType (Pre-seed/Seed/Series A), Amount, Valuation, Timing, DilutionPct</w:t>
            </w:r>
          </w:p>
        </w:tc>
      </w:tr>
      <w:tr>
        <w:tc>
          <w:tcPr>
            <w:tcW w:type="dxa" w:w="2016"/>
          </w:tcPr>
          <w:p>
            <w:pPr>
              <w:keepLines/>
            </w:pPr>
            <w:r>
              <w:rPr>
                <w:sz w:val="17"/>
              </w:rPr>
              <w:t>Debt Facilities</w:t>
            </w:r>
          </w:p>
        </w:tc>
        <w:tc>
          <w:tcPr>
            <w:tcW w:type="dxa" w:w="720"/>
          </w:tcPr>
          <w:p>
            <w:pPr>
              <w:keepLines/>
            </w:pPr>
            <w:r>
              <w:rPr>
                <w:sz w:val="17"/>
              </w:rPr>
              <w:t>D</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Principal, InterestRate, DrawdownSchedule, RepaymentTerms, CovenantConditions</w:t>
            </w:r>
          </w:p>
        </w:tc>
      </w:tr>
      <w:tr>
        <w:tc>
          <w:tcPr>
            <w:tcW w:type="dxa" w:w="2016"/>
          </w:tcPr>
          <w:p>
            <w:pPr>
              <w:keepLines/>
            </w:pPr>
            <w:r>
              <w:rPr>
                <w:sz w:val="17"/>
              </w:rPr>
              <w:t>Runway Projection</w:t>
            </w:r>
          </w:p>
        </w:tc>
        <w:tc>
          <w:tcPr>
            <w:tcW w:type="dxa" w:w="720"/>
          </w:tcPr>
          <w:p>
            <w:pPr>
              <w:keepLines/>
            </w:pPr>
            <w:r>
              <w:rPr>
                <w:sz w:val="17"/>
              </w:rPr>
              <w:t>D</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MonthlyBurnRate, CashTroughMonth, RunwayMonths, MinSafeBalance</w:t>
            </w:r>
          </w:p>
        </w:tc>
      </w:tr>
      <w:tr>
        <w:tc>
          <w:tcPr>
            <w:tcW w:type="dxa" w:w="2016"/>
          </w:tcPr>
          <w:p>
            <w:pPr>
              <w:keepLines/>
            </w:pPr>
            <w:r>
              <w:rPr>
                <w:sz w:val="17"/>
              </w:rPr>
              <w:t>Capital Intelligence</w:t>
            </w:r>
          </w:p>
        </w:tc>
        <w:tc>
          <w:tcPr>
            <w:tcW w:type="dxa" w:w="720"/>
          </w:tcPr>
          <w:p>
            <w:pPr>
              <w:keepLines/>
            </w:pPr>
            <w:r>
              <w:rPr>
                <w:sz w:val="17"/>
              </w:rPr>
              <w:t>D</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LatestSafeRaiseMonth, RaiseSizingModel, DilutionTimeline, CovenantBreachAlert</w:t>
            </w:r>
          </w:p>
        </w:tc>
      </w:tr>
      <w:tr>
        <w:tc>
          <w:tcPr>
            <w:tcW w:type="dxa" w:w="2016"/>
            <w:shd w:fill="00695C" w:val="clear"/>
          </w:tcPr>
          <w:p>
            <w:pPr>
              <w:keepLines/>
            </w:pPr>
            <w:r>
              <w:rPr>
                <w:b/>
                <w:color w:val="FFFFFF"/>
                <w:sz w:val="18"/>
              </w:rPr>
              <w:t>Financial Projection Engine — Layer E</w:t>
            </w:r>
          </w:p>
        </w:tc>
        <w:tc>
          <w:tcPr>
            <w:tcW w:type="dxa" w:w="720"/>
            <w:shd w:fill="00695C" w:val="clear"/>
          </w:tcPr>
          <w:p>
            <w:pPr>
              <w:keepLines/>
            </w:pPr>
            <w:r/>
          </w:p>
        </w:tc>
        <w:tc>
          <w:tcPr>
            <w:tcW w:type="dxa" w:w="1872"/>
            <w:shd w:fill="00695C" w:val="clear"/>
          </w:tcPr>
          <w:p>
            <w:pPr>
              <w:keepLines/>
            </w:pPr>
            <w:r/>
          </w:p>
        </w:tc>
        <w:tc>
          <w:tcPr>
            <w:tcW w:type="dxa" w:w="720"/>
            <w:shd w:fill="00695C" w:val="clear"/>
          </w:tcPr>
          <w:p>
            <w:pPr>
              <w:keepLines/>
            </w:pPr>
            <w:r/>
          </w:p>
        </w:tc>
        <w:tc>
          <w:tcPr>
            <w:tcW w:type="dxa" w:w="4032"/>
            <w:shd w:fill="00695C" w:val="clear"/>
          </w:tcPr>
          <w:p>
            <w:pPr>
              <w:keepLines/>
            </w:pPr>
            <w:r/>
          </w:p>
        </w:tc>
      </w:tr>
      <w:tr>
        <w:tc>
          <w:tcPr>
            <w:tcW w:type="dxa" w:w="2016"/>
          </w:tcPr>
          <w:p>
            <w:pPr>
              <w:keepLines/>
            </w:pPr>
            <w:r>
              <w:rPr>
                <w:sz w:val="17"/>
              </w:rPr>
              <w:t>P&amp;L Projection</w:t>
            </w:r>
          </w:p>
        </w:tc>
        <w:tc>
          <w:tcPr>
            <w:tcW w:type="dxa" w:w="720"/>
          </w:tcPr>
          <w:p>
            <w:pPr>
              <w:keepLines/>
            </w:pPr>
            <w:r>
              <w:rPr>
                <w:sz w:val="17"/>
              </w:rPr>
              <w:t>E</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GrossRevenue→NetRevenue→GrossProfit→EBITDA→EBIT→EBT→NetIncome; all geographic levels x monthly</w:t>
            </w:r>
          </w:p>
        </w:tc>
      </w:tr>
      <w:tr>
        <w:tc>
          <w:tcPr>
            <w:tcW w:type="dxa" w:w="2016"/>
          </w:tcPr>
          <w:p>
            <w:pPr>
              <w:keepLines/>
            </w:pPr>
            <w:r>
              <w:rPr>
                <w:sz w:val="17"/>
              </w:rPr>
              <w:t>Cash Flow Projection</w:t>
            </w:r>
          </w:p>
        </w:tc>
        <w:tc>
          <w:tcPr>
            <w:tcW w:type="dxa" w:w="720"/>
          </w:tcPr>
          <w:p>
            <w:pPr>
              <w:keepLines/>
            </w:pPr>
            <w:r>
              <w:rPr>
                <w:sz w:val="17"/>
              </w:rPr>
              <w:t>E</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OperatingCF, InvestingCF (Capex), FinancingCF (Equity/Debt); Net Cash, Opening/Closing Balance</w:t>
            </w:r>
          </w:p>
        </w:tc>
      </w:tr>
      <w:tr>
        <w:tc>
          <w:tcPr>
            <w:tcW w:type="dxa" w:w="2016"/>
          </w:tcPr>
          <w:p>
            <w:pPr>
              <w:keepLines/>
            </w:pPr>
            <w:r>
              <w:rPr>
                <w:sz w:val="17"/>
              </w:rPr>
              <w:t>Balance Sheet Projection</w:t>
            </w:r>
          </w:p>
        </w:tc>
        <w:tc>
          <w:tcPr>
            <w:tcW w:type="dxa" w:w="720"/>
          </w:tcPr>
          <w:p>
            <w:pPr>
              <w:keepLines/>
            </w:pPr>
            <w:r>
              <w:rPr>
                <w:sz w:val="17"/>
              </w:rPr>
              <w:t>E</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Assets (Cash/PPE/Deposits), Liabilities (AP/Debt), Equity; monthly at entity level</w:t>
            </w:r>
          </w:p>
        </w:tc>
      </w:tr>
      <w:tr>
        <w:tc>
          <w:tcPr>
            <w:tcW w:type="dxa" w:w="2016"/>
          </w:tcPr>
          <w:p>
            <w:pPr>
              <w:keepLines/>
            </w:pPr>
            <w:r>
              <w:rPr>
                <w:sz w:val="17"/>
              </w:rPr>
              <w:t>Unit Economics</w:t>
            </w:r>
          </w:p>
        </w:tc>
        <w:tc>
          <w:tcPr>
            <w:tcW w:type="dxa" w:w="720"/>
          </w:tcPr>
          <w:p>
            <w:pPr>
              <w:keepLines/>
            </w:pPr>
            <w:r>
              <w:rPr>
                <w:sz w:val="17"/>
              </w:rPr>
              <w:t>E</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CM1(Gross-COGS), CM2(CM1-Marketing), CM3(CM2-Labor), CM4/EBITDA per order; per kitchen per month</w:t>
            </w:r>
          </w:p>
        </w:tc>
      </w:tr>
      <w:tr>
        <w:tc>
          <w:tcPr>
            <w:tcW w:type="dxa" w:w="2016"/>
            <w:shd w:fill="C46000" w:val="clear"/>
          </w:tcPr>
          <w:p>
            <w:pPr>
              <w:keepLines/>
            </w:pPr>
            <w:r>
              <w:rPr>
                <w:b/>
                <w:color w:val="FFFFFF"/>
                <w:sz w:val="18"/>
              </w:rPr>
              <w:t>KPI &amp; Performance Intelligence — Layer F</w:t>
            </w:r>
          </w:p>
        </w:tc>
        <w:tc>
          <w:tcPr>
            <w:tcW w:type="dxa" w:w="720"/>
            <w:shd w:fill="C46000" w:val="clear"/>
          </w:tcPr>
          <w:p>
            <w:pPr>
              <w:keepLines/>
            </w:pPr>
            <w:r/>
          </w:p>
        </w:tc>
        <w:tc>
          <w:tcPr>
            <w:tcW w:type="dxa" w:w="1872"/>
            <w:shd w:fill="C46000" w:val="clear"/>
          </w:tcPr>
          <w:p>
            <w:pPr>
              <w:keepLines/>
            </w:pPr>
            <w:r/>
          </w:p>
        </w:tc>
        <w:tc>
          <w:tcPr>
            <w:tcW w:type="dxa" w:w="720"/>
            <w:shd w:fill="C46000" w:val="clear"/>
          </w:tcPr>
          <w:p>
            <w:pPr>
              <w:keepLines/>
            </w:pPr>
            <w:r/>
          </w:p>
        </w:tc>
        <w:tc>
          <w:tcPr>
            <w:tcW w:type="dxa" w:w="4032"/>
            <w:shd w:fill="C46000" w:val="clear"/>
          </w:tcPr>
          <w:p>
            <w:pPr>
              <w:keepLines/>
            </w:pPr>
            <w:r/>
          </w:p>
        </w:tc>
      </w:tr>
      <w:tr>
        <w:tc>
          <w:tcPr>
            <w:tcW w:type="dxa" w:w="2016"/>
          </w:tcPr>
          <w:p>
            <w:pPr>
              <w:keepLines/>
            </w:pPr>
            <w:r>
              <w:rPr>
                <w:sz w:val="17"/>
              </w:rPr>
              <w:t>Core KPIs</w:t>
            </w:r>
          </w:p>
        </w:tc>
        <w:tc>
          <w:tcPr>
            <w:tcW w:type="dxa" w:w="720"/>
          </w:tcPr>
          <w:p>
            <w:pPr>
              <w:keepLines/>
            </w:pPr>
            <w:r>
              <w:rPr>
                <w:sz w:val="17"/>
              </w:rPr>
              <w:t>F</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Revenue, EBITDA%, BurnRate, Runway, Payback, IRR, ROIC, NPV, FoodCost%, LaborCost%</w:t>
            </w:r>
          </w:p>
        </w:tc>
      </w:tr>
      <w:tr>
        <w:tc>
          <w:tcPr>
            <w:tcW w:type="dxa" w:w="2016"/>
          </w:tcPr>
          <w:p>
            <w:pPr>
              <w:keepLines/>
            </w:pPr>
            <w:r>
              <w:rPr>
                <w:sz w:val="17"/>
              </w:rPr>
              <w:t>Driver Explainability</w:t>
            </w:r>
          </w:p>
        </w:tc>
        <w:tc>
          <w:tcPr>
            <w:tcW w:type="dxa" w:w="720"/>
          </w:tcPr>
          <w:p>
            <w:pPr>
              <w:keepLines/>
            </w:pPr>
            <w:r>
              <w:rPr>
                <w:sz w:val="17"/>
              </w:rPr>
              <w:t>F</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RevenueBridge, MarginBridge, VarianceClassification, DriverContributionRanking</w:t>
            </w:r>
          </w:p>
        </w:tc>
      </w:tr>
      <w:tr>
        <w:tc>
          <w:tcPr>
            <w:tcW w:type="dxa" w:w="2016"/>
          </w:tcPr>
          <w:p>
            <w:pPr>
              <w:keepLines/>
            </w:pPr>
            <w:r>
              <w:rPr>
                <w:sz w:val="17"/>
              </w:rPr>
              <w:t>Plan vs Actual</w:t>
            </w:r>
          </w:p>
        </w:tc>
        <w:tc>
          <w:tcPr>
            <w:tcW w:type="dxa" w:w="720"/>
          </w:tcPr>
          <w:p>
            <w:pPr>
              <w:keepLines/>
            </w:pPr>
            <w:r>
              <w:rPr>
                <w:sz w:val="17"/>
              </w:rPr>
              <w:t>F</w:t>
            </w:r>
          </w:p>
        </w:tc>
        <w:tc>
          <w:tcPr>
            <w:tcW w:type="dxa" w:w="1872"/>
          </w:tcPr>
          <w:p>
            <w:pPr>
              <w:keepLines/>
            </w:pPr>
            <w:r>
              <w:rPr>
                <w:b/>
                <w:color w:val="E65100"/>
                <w:sz w:val="17"/>
              </w:rPr>
              <w:t>Phase 2-3</w:t>
            </w:r>
          </w:p>
        </w:tc>
        <w:tc>
          <w:tcPr>
            <w:tcW w:type="dxa" w:w="720"/>
          </w:tcPr>
          <w:p>
            <w:pPr>
              <w:keepLines/>
            </w:pPr>
            <w:r>
              <w:rPr>
                <w:sz w:val="17"/>
              </w:rPr>
              <w:t>P2</w:t>
            </w:r>
          </w:p>
        </w:tc>
        <w:tc>
          <w:tcPr>
            <w:tcW w:type="dxa" w:w="4032"/>
          </w:tcPr>
          <w:p>
            <w:pPr>
              <w:keepLines/>
            </w:pPr>
            <w:r>
              <w:rPr>
                <w:sz w:val="17"/>
              </w:rPr>
              <w:t>ActualVsPlan, ActualVsForecast, VarianceByDriver, ReforecastSeed</w:t>
            </w:r>
          </w:p>
        </w:tc>
      </w:tr>
      <w:tr>
        <w:tc>
          <w:tcPr>
            <w:tcW w:type="dxa" w:w="2016"/>
          </w:tcPr>
          <w:p>
            <w:pPr>
              <w:keepLines/>
            </w:pPr>
            <w:r>
              <w:rPr>
                <w:sz w:val="17"/>
              </w:rPr>
              <w:t>Benchmark &amp; Trend</w:t>
            </w:r>
          </w:p>
        </w:tc>
        <w:tc>
          <w:tcPr>
            <w:tcW w:type="dxa" w:w="720"/>
          </w:tcPr>
          <w:p>
            <w:pPr>
              <w:keepLines/>
            </w:pPr>
            <w:r>
              <w:rPr>
                <w:sz w:val="17"/>
              </w:rPr>
              <w:t>F</w:t>
            </w:r>
          </w:p>
        </w:tc>
        <w:tc>
          <w:tcPr>
            <w:tcW w:type="dxa" w:w="1872"/>
          </w:tcPr>
          <w:p>
            <w:pPr>
              <w:keepLines/>
            </w:pPr>
            <w:r>
              <w:rPr>
                <w:b/>
                <w:color w:val="E65100"/>
                <w:sz w:val="17"/>
              </w:rPr>
              <w:t>Phase 2-3</w:t>
            </w:r>
          </w:p>
        </w:tc>
        <w:tc>
          <w:tcPr>
            <w:tcW w:type="dxa" w:w="720"/>
          </w:tcPr>
          <w:p>
            <w:pPr>
              <w:keepLines/>
            </w:pPr>
            <w:r>
              <w:rPr>
                <w:sz w:val="17"/>
              </w:rPr>
              <w:t>P2</w:t>
            </w:r>
          </w:p>
        </w:tc>
        <w:tc>
          <w:tcPr>
            <w:tcW w:type="dxa" w:w="4032"/>
          </w:tcPr>
          <w:p>
            <w:pPr>
              <w:keepLines/>
            </w:pPr>
            <w:r>
              <w:rPr>
                <w:sz w:val="17"/>
              </w:rPr>
              <w:t>IndustryBenchmarks, InterMicroComparison, TrendLines, CAC/CLVTrend</w:t>
            </w:r>
          </w:p>
        </w:tc>
      </w:tr>
      <w:tr>
        <w:tc>
          <w:tcPr>
            <w:tcW w:type="dxa" w:w="2016"/>
            <w:shd w:fill="B71C1C" w:val="clear"/>
          </w:tcPr>
          <w:p>
            <w:pPr>
              <w:keepLines/>
            </w:pPr>
            <w:r>
              <w:rPr>
                <w:b/>
                <w:color w:val="FFFFFF"/>
                <w:sz w:val="18"/>
              </w:rPr>
              <w:t>Risk &amp; Uncertainty Framework — Layer G</w:t>
            </w:r>
          </w:p>
        </w:tc>
        <w:tc>
          <w:tcPr>
            <w:tcW w:type="dxa" w:w="720"/>
            <w:shd w:fill="B71C1C" w:val="clear"/>
          </w:tcPr>
          <w:p>
            <w:pPr>
              <w:keepLines/>
            </w:pPr>
            <w:r/>
          </w:p>
        </w:tc>
        <w:tc>
          <w:tcPr>
            <w:tcW w:type="dxa" w:w="1872"/>
            <w:shd w:fill="B71C1C" w:val="clear"/>
          </w:tcPr>
          <w:p>
            <w:pPr>
              <w:keepLines/>
            </w:pPr>
            <w:r/>
          </w:p>
        </w:tc>
        <w:tc>
          <w:tcPr>
            <w:tcW w:type="dxa" w:w="720"/>
            <w:shd w:fill="B71C1C" w:val="clear"/>
          </w:tcPr>
          <w:p>
            <w:pPr>
              <w:keepLines/>
            </w:pPr>
            <w:r/>
          </w:p>
        </w:tc>
        <w:tc>
          <w:tcPr>
            <w:tcW w:type="dxa" w:w="4032"/>
            <w:shd w:fill="B71C1C" w:val="clear"/>
          </w:tcPr>
          <w:p>
            <w:pPr>
              <w:keepLines/>
            </w:pPr>
            <w:r/>
          </w:p>
        </w:tc>
      </w:tr>
      <w:tr>
        <w:tc>
          <w:tcPr>
            <w:tcW w:type="dxa" w:w="2016"/>
          </w:tcPr>
          <w:p>
            <w:pPr>
              <w:keepLines/>
            </w:pPr>
            <w:r>
              <w:rPr>
                <w:sz w:val="17"/>
              </w:rPr>
              <w:t>Risk Objects</w:t>
            </w:r>
          </w:p>
        </w:tc>
        <w:tc>
          <w:tcPr>
            <w:tcW w:type="dxa" w:w="720"/>
          </w:tcPr>
          <w:p>
            <w:pPr>
              <w:keepLines/>
            </w:pPr>
            <w:r>
              <w:rPr>
                <w:sz w:val="17"/>
              </w:rPr>
              <w:t>G</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RiskCategory, RiskName, Probability, ImpactSeverity, MitigationAction, Owner</w:t>
            </w:r>
          </w:p>
        </w:tc>
      </w:tr>
      <w:tr>
        <w:tc>
          <w:tcPr>
            <w:tcW w:type="dxa" w:w="2016"/>
          </w:tcPr>
          <w:p>
            <w:pPr>
              <w:keepLines/>
            </w:pPr>
            <w:r>
              <w:rPr>
                <w:sz w:val="17"/>
              </w:rPr>
              <w:t>Sensitivity Analysis</w:t>
            </w:r>
          </w:p>
        </w:tc>
        <w:tc>
          <w:tcPr>
            <w:tcW w:type="dxa" w:w="720"/>
          </w:tcPr>
          <w:p>
            <w:pPr>
              <w:keepLines/>
            </w:pPr>
            <w:r>
              <w:rPr>
                <w:sz w:val="17"/>
              </w:rPr>
              <w:t>G</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TornadoChart, OneWaySensitivity, TwoWaySensitivity, BreakevenMatrix</w:t>
            </w:r>
          </w:p>
        </w:tc>
      </w:tr>
      <w:tr>
        <w:tc>
          <w:tcPr>
            <w:tcW w:type="dxa" w:w="2016"/>
          </w:tcPr>
          <w:p>
            <w:pPr>
              <w:keepLines/>
            </w:pPr>
            <w:r>
              <w:rPr>
                <w:sz w:val="17"/>
              </w:rPr>
              <w:t>Monte Carlo Engine</w:t>
            </w:r>
          </w:p>
        </w:tc>
        <w:tc>
          <w:tcPr>
            <w:tcW w:type="dxa" w:w="720"/>
          </w:tcPr>
          <w:p>
            <w:pPr>
              <w:keepLines/>
            </w:pPr>
            <w:r>
              <w:rPr>
                <w:sz w:val="17"/>
              </w:rPr>
              <w:t>G</w:t>
            </w:r>
          </w:p>
        </w:tc>
        <w:tc>
          <w:tcPr>
            <w:tcW w:type="dxa" w:w="1872"/>
          </w:tcPr>
          <w:p>
            <w:pPr>
              <w:keepLines/>
            </w:pPr>
            <w:r>
              <w:rPr>
                <w:b/>
                <w:color w:val="E65100"/>
                <w:sz w:val="17"/>
              </w:rPr>
              <w:t>Phase 2-3</w:t>
            </w:r>
          </w:p>
        </w:tc>
        <w:tc>
          <w:tcPr>
            <w:tcW w:type="dxa" w:w="720"/>
          </w:tcPr>
          <w:p>
            <w:pPr>
              <w:keepLines/>
            </w:pPr>
            <w:r>
              <w:rPr>
                <w:sz w:val="17"/>
              </w:rPr>
              <w:t>P2</w:t>
            </w:r>
          </w:p>
        </w:tc>
        <w:tc>
          <w:tcPr>
            <w:tcW w:type="dxa" w:w="4032"/>
          </w:tcPr>
          <w:p>
            <w:pPr>
              <w:keepLines/>
            </w:pPr>
            <w:r>
              <w:rPr>
                <w:sz w:val="17"/>
              </w:rPr>
              <w:t>InputDistributions, 1000+ SimulationRuns, P10/P50/P90 curves for Revenue/EBITDA/Cash</w:t>
            </w:r>
          </w:p>
        </w:tc>
      </w:tr>
      <w:tr>
        <w:tc>
          <w:tcPr>
            <w:tcW w:type="dxa" w:w="2016"/>
          </w:tcPr>
          <w:p>
            <w:pPr>
              <w:keepLines/>
            </w:pPr>
            <w:r>
              <w:rPr>
                <w:sz w:val="17"/>
              </w:rPr>
              <w:t>Stress Testing</w:t>
            </w:r>
          </w:p>
        </w:tc>
        <w:tc>
          <w:tcPr>
            <w:tcW w:type="dxa" w:w="720"/>
          </w:tcPr>
          <w:p>
            <w:pPr>
              <w:keepLines/>
            </w:pPr>
            <w:r>
              <w:rPr>
                <w:sz w:val="17"/>
              </w:rPr>
              <w:t>G</w:t>
            </w:r>
          </w:p>
        </w:tc>
        <w:tc>
          <w:tcPr>
            <w:tcW w:type="dxa" w:w="1872"/>
          </w:tcPr>
          <w:p>
            <w:pPr>
              <w:keepLines/>
            </w:pPr>
            <w:r>
              <w:rPr>
                <w:b/>
                <w:color w:val="1565C0"/>
                <w:sz w:val="17"/>
              </w:rPr>
              <w:t>Recommended v1.5</w:t>
            </w:r>
          </w:p>
        </w:tc>
        <w:tc>
          <w:tcPr>
            <w:tcW w:type="dxa" w:w="720"/>
          </w:tcPr>
          <w:p>
            <w:pPr>
              <w:keepLines/>
            </w:pPr>
            <w:r>
              <w:rPr>
                <w:sz w:val="17"/>
              </w:rPr>
              <w:t>P1</w:t>
            </w:r>
          </w:p>
        </w:tc>
        <w:tc>
          <w:tcPr>
            <w:tcW w:type="dxa" w:w="4032"/>
          </w:tcPr>
          <w:p>
            <w:pPr>
              <w:keepLines/>
            </w:pPr>
            <w:r>
              <w:rPr>
                <w:sz w:val="17"/>
              </w:rPr>
              <w:t>PlatformCommissionShock, FoodCostSpike, DemandDownturn, FundingFailure scenarios</w:t>
            </w:r>
          </w:p>
        </w:tc>
      </w:tr>
      <w:tr>
        <w:tc>
          <w:tcPr>
            <w:tcW w:type="dxa" w:w="2016"/>
            <w:shd w:fill="0277BD" w:val="clear"/>
          </w:tcPr>
          <w:p>
            <w:pPr>
              <w:keepLines/>
            </w:pPr>
            <w:r>
              <w:rPr>
                <w:b/>
                <w:color w:val="FFFFFF"/>
                <w:sz w:val="18"/>
              </w:rPr>
              <w:t>Simulation &amp; Decision Support — Layer H</w:t>
            </w:r>
          </w:p>
        </w:tc>
        <w:tc>
          <w:tcPr>
            <w:tcW w:type="dxa" w:w="720"/>
            <w:shd w:fill="0277BD" w:val="clear"/>
          </w:tcPr>
          <w:p>
            <w:pPr>
              <w:keepLines/>
            </w:pPr>
            <w:r/>
          </w:p>
        </w:tc>
        <w:tc>
          <w:tcPr>
            <w:tcW w:type="dxa" w:w="1872"/>
            <w:shd w:fill="0277BD" w:val="clear"/>
          </w:tcPr>
          <w:p>
            <w:pPr>
              <w:keepLines/>
            </w:pPr>
            <w:r/>
          </w:p>
        </w:tc>
        <w:tc>
          <w:tcPr>
            <w:tcW w:type="dxa" w:w="720"/>
            <w:shd w:fill="0277BD" w:val="clear"/>
          </w:tcPr>
          <w:p>
            <w:pPr>
              <w:keepLines/>
            </w:pPr>
            <w:r/>
          </w:p>
        </w:tc>
        <w:tc>
          <w:tcPr>
            <w:tcW w:type="dxa" w:w="4032"/>
            <w:shd w:fill="0277BD" w:val="clear"/>
          </w:tcPr>
          <w:p>
            <w:pPr>
              <w:keepLines/>
            </w:pPr>
            <w:r/>
          </w:p>
        </w:tc>
      </w:tr>
      <w:tr>
        <w:tc>
          <w:tcPr>
            <w:tcW w:type="dxa" w:w="2016"/>
          </w:tcPr>
          <w:p>
            <w:pPr>
              <w:keepLines/>
            </w:pPr>
            <w:r>
              <w:rPr>
                <w:sz w:val="17"/>
              </w:rPr>
              <w:t>Basic Simulators</w:t>
            </w:r>
          </w:p>
        </w:tc>
        <w:tc>
          <w:tcPr>
            <w:tcW w:type="dxa" w:w="720"/>
          </w:tcPr>
          <w:p>
            <w:pPr>
              <w:keepLines/>
            </w:pPr>
            <w:r>
              <w:rPr>
                <w:sz w:val="17"/>
              </w:rPr>
              <w:t>H</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PricingSimulator, CostShockSimulator, ExpansionPacingSimulator, ScenarioComparator</w:t>
            </w:r>
          </w:p>
        </w:tc>
      </w:tr>
      <w:tr>
        <w:tc>
          <w:tcPr>
            <w:tcW w:type="dxa" w:w="2016"/>
          </w:tcPr>
          <w:p>
            <w:pPr>
              <w:keepLines/>
            </w:pPr>
            <w:r>
              <w:rPr>
                <w:sz w:val="17"/>
              </w:rPr>
              <w:t>Advanced Simulators</w:t>
            </w:r>
          </w:p>
        </w:tc>
        <w:tc>
          <w:tcPr>
            <w:tcW w:type="dxa" w:w="720"/>
          </w:tcPr>
          <w:p>
            <w:pPr>
              <w:keepLines/>
            </w:pPr>
            <w:r>
              <w:rPr>
                <w:sz w:val="17"/>
              </w:rPr>
              <w:t>H</w:t>
            </w:r>
          </w:p>
        </w:tc>
        <w:tc>
          <w:tcPr>
            <w:tcW w:type="dxa" w:w="1872"/>
          </w:tcPr>
          <w:p>
            <w:pPr>
              <w:keepLines/>
            </w:pPr>
            <w:r>
              <w:rPr>
                <w:b/>
                <w:color w:val="E65100"/>
                <w:sz w:val="17"/>
              </w:rPr>
              <w:t>Phase 2-3</w:t>
            </w:r>
          </w:p>
        </w:tc>
        <w:tc>
          <w:tcPr>
            <w:tcW w:type="dxa" w:w="720"/>
          </w:tcPr>
          <w:p>
            <w:pPr>
              <w:keepLines/>
            </w:pPr>
            <w:r>
              <w:rPr>
                <w:sz w:val="17"/>
              </w:rPr>
              <w:t>P2</w:t>
            </w:r>
          </w:p>
        </w:tc>
        <w:tc>
          <w:tcPr>
            <w:tcW w:type="dxa" w:w="4032"/>
          </w:tcPr>
          <w:p>
            <w:pPr>
              <w:keepLines/>
            </w:pPr>
            <w:r>
              <w:rPr>
                <w:sz w:val="17"/>
              </w:rPr>
              <w:t>FundingSimulator, MarginRecoverySimulator, CompetitiveEntrySimulator, PlatformDependency</w:t>
            </w:r>
          </w:p>
        </w:tc>
      </w:tr>
      <w:tr>
        <w:tc>
          <w:tcPr>
            <w:tcW w:type="dxa" w:w="2016"/>
          </w:tcPr>
          <w:p>
            <w:pPr>
              <w:keepLines/>
            </w:pPr>
            <w:r>
              <w:rPr>
                <w:sz w:val="17"/>
              </w:rPr>
              <w:t>Probabilistic Simulators</w:t>
            </w:r>
          </w:p>
        </w:tc>
        <w:tc>
          <w:tcPr>
            <w:tcW w:type="dxa" w:w="720"/>
          </w:tcPr>
          <w:p>
            <w:pPr>
              <w:keepLines/>
            </w:pPr>
            <w:r>
              <w:rPr>
                <w:sz w:val="17"/>
              </w:rPr>
              <w:t>H</w:t>
            </w:r>
          </w:p>
        </w:tc>
        <w:tc>
          <w:tcPr>
            <w:tcW w:type="dxa" w:w="1872"/>
          </w:tcPr>
          <w:p>
            <w:pPr>
              <w:keepLines/>
            </w:pPr>
            <w:r>
              <w:rPr>
                <w:b/>
                <w:color w:val="E65100"/>
                <w:sz w:val="17"/>
              </w:rPr>
              <w:t>Phase 2-3</w:t>
            </w:r>
          </w:p>
        </w:tc>
        <w:tc>
          <w:tcPr>
            <w:tcW w:type="dxa" w:w="720"/>
          </w:tcPr>
          <w:p>
            <w:pPr>
              <w:keepLines/>
            </w:pPr>
            <w:r>
              <w:rPr>
                <w:sz w:val="17"/>
              </w:rPr>
              <w:t>P2</w:t>
            </w:r>
          </w:p>
        </w:tc>
        <w:tc>
          <w:tcPr>
            <w:tcW w:type="dxa" w:w="4032"/>
          </w:tcPr>
          <w:p>
            <w:pPr>
              <w:keepLines/>
            </w:pPr>
            <w:r>
              <w:rPr>
                <w:sz w:val="17"/>
              </w:rPr>
              <w:t>MonteCarloEngine, BreakevenAnalyzer (Volume x Price x Cost matrix)</w:t>
            </w:r>
          </w:p>
        </w:tc>
      </w:tr>
      <w:tr>
        <w:tc>
          <w:tcPr>
            <w:tcW w:type="dxa" w:w="2016"/>
            <w:shd w:fill="37474F" w:val="clear"/>
          </w:tcPr>
          <w:p>
            <w:pPr>
              <w:keepLines/>
            </w:pPr>
            <w:r>
              <w:rPr>
                <w:b/>
                <w:color w:val="FFFFFF"/>
                <w:sz w:val="18"/>
              </w:rPr>
              <w:t>Portfolio &amp; Decision Intelligence — Layer I</w:t>
            </w:r>
          </w:p>
        </w:tc>
        <w:tc>
          <w:tcPr>
            <w:tcW w:type="dxa" w:w="720"/>
            <w:shd w:fill="37474F" w:val="clear"/>
          </w:tcPr>
          <w:p>
            <w:pPr>
              <w:keepLines/>
            </w:pPr>
            <w:r/>
          </w:p>
        </w:tc>
        <w:tc>
          <w:tcPr>
            <w:tcW w:type="dxa" w:w="1872"/>
            <w:shd w:fill="37474F" w:val="clear"/>
          </w:tcPr>
          <w:p>
            <w:pPr>
              <w:keepLines/>
            </w:pPr>
            <w:r/>
          </w:p>
        </w:tc>
        <w:tc>
          <w:tcPr>
            <w:tcW w:type="dxa" w:w="720"/>
            <w:shd w:fill="37474F" w:val="clear"/>
          </w:tcPr>
          <w:p>
            <w:pPr>
              <w:keepLines/>
            </w:pPr>
            <w:r/>
          </w:p>
        </w:tc>
        <w:tc>
          <w:tcPr>
            <w:tcW w:type="dxa" w:w="4032"/>
            <w:shd w:fill="37474F" w:val="clear"/>
          </w:tcPr>
          <w:p>
            <w:pPr>
              <w:keepLines/>
            </w:pPr>
            <w:r/>
          </w:p>
        </w:tc>
      </w:tr>
      <w:tr>
        <w:tc>
          <w:tcPr>
            <w:tcW w:type="dxa" w:w="2016"/>
          </w:tcPr>
          <w:p>
            <w:pPr>
              <w:keepLines/>
            </w:pPr>
            <w:r>
              <w:rPr>
                <w:sz w:val="17"/>
              </w:rPr>
              <w:t>Market Attractiveness</w:t>
            </w:r>
          </w:p>
        </w:tc>
        <w:tc>
          <w:tcPr>
            <w:tcW w:type="dxa" w:w="720"/>
          </w:tcPr>
          <w:p>
            <w:pPr>
              <w:keepLines/>
            </w:pPr>
            <w:r>
              <w:rPr>
                <w:sz w:val="17"/>
              </w:rPr>
              <w:t>I</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ScoringEngine (6 dimensions), CompositeScore 0-100, RankingTable, ConfidenceInterval</w:t>
            </w:r>
          </w:p>
        </w:tc>
      </w:tr>
      <w:tr>
        <w:tc>
          <w:tcPr>
            <w:tcW w:type="dxa" w:w="2016"/>
          </w:tcPr>
          <w:p>
            <w:pPr>
              <w:keepLines/>
            </w:pPr>
            <w:r>
              <w:rPr>
                <w:sz w:val="17"/>
              </w:rPr>
              <w:t>Expansion Triggers</w:t>
            </w:r>
          </w:p>
        </w:tc>
        <w:tc>
          <w:tcPr>
            <w:tcW w:type="dxa" w:w="720"/>
          </w:tcPr>
          <w:p>
            <w:pPr>
              <w:keepLines/>
            </w:pPr>
            <w:r>
              <w:rPr>
                <w:sz w:val="17"/>
              </w:rPr>
              <w:t>I</w:t>
            </w:r>
          </w:p>
        </w:tc>
        <w:tc>
          <w:tcPr>
            <w:tcW w:type="dxa" w:w="1872"/>
          </w:tcPr>
          <w:p>
            <w:pPr>
              <w:keepLines/>
            </w:pPr>
            <w:r>
              <w:rPr>
                <w:b/>
                <w:color w:val="1B6B35"/>
                <w:sz w:val="17"/>
              </w:rPr>
              <w:t>Core v1</w:t>
            </w:r>
          </w:p>
        </w:tc>
        <w:tc>
          <w:tcPr>
            <w:tcW w:type="dxa" w:w="720"/>
          </w:tcPr>
          <w:p>
            <w:pPr>
              <w:keepLines/>
            </w:pPr>
            <w:r>
              <w:rPr>
                <w:sz w:val="17"/>
              </w:rPr>
              <w:t>P0</w:t>
            </w:r>
          </w:p>
        </w:tc>
        <w:tc>
          <w:tcPr>
            <w:tcW w:type="dxa" w:w="4032"/>
          </w:tcPr>
          <w:p>
            <w:pPr>
              <w:keepLines/>
            </w:pPr>
            <w:r>
              <w:rPr>
                <w:sz w:val="17"/>
              </w:rPr>
              <w:t>IntraMacroTriggers, IntraClusterTriggers, IntraCountryTriggers, TriggerStatusDashboard</w:t>
            </w:r>
          </w:p>
        </w:tc>
      </w:tr>
      <w:tr>
        <w:tc>
          <w:tcPr>
            <w:tcW w:type="dxa" w:w="2016"/>
          </w:tcPr>
          <w:p>
            <w:pPr>
              <w:keepLines/>
            </w:pPr>
            <w:r>
              <w:rPr>
                <w:sz w:val="17"/>
              </w:rPr>
              <w:t>Portfolio Construction</w:t>
            </w:r>
          </w:p>
        </w:tc>
        <w:tc>
          <w:tcPr>
            <w:tcW w:type="dxa" w:w="720"/>
          </w:tcPr>
          <w:p>
            <w:pPr>
              <w:keepLines/>
            </w:pPr>
            <w:r>
              <w:rPr>
                <w:sz w:val="17"/>
              </w:rPr>
              <w:t>I</w:t>
            </w:r>
          </w:p>
        </w:tc>
        <w:tc>
          <w:tcPr>
            <w:tcW w:type="dxa" w:w="1872"/>
          </w:tcPr>
          <w:p>
            <w:pPr>
              <w:keepLines/>
            </w:pPr>
            <w:r>
              <w:rPr>
                <w:b/>
                <w:color w:val="E65100"/>
                <w:sz w:val="17"/>
              </w:rPr>
              <w:t>Phase 2-3</w:t>
            </w:r>
          </w:p>
        </w:tc>
        <w:tc>
          <w:tcPr>
            <w:tcW w:type="dxa" w:w="720"/>
          </w:tcPr>
          <w:p>
            <w:pPr>
              <w:keepLines/>
            </w:pPr>
            <w:r>
              <w:rPr>
                <w:sz w:val="17"/>
              </w:rPr>
              <w:t>P2</w:t>
            </w:r>
          </w:p>
        </w:tc>
        <w:tc>
          <w:tcPr>
            <w:tcW w:type="dxa" w:w="4032"/>
          </w:tcPr>
          <w:p>
            <w:pPr>
              <w:keepLines/>
            </w:pPr>
            <w:r>
              <w:rPr>
                <w:sz w:val="17"/>
              </w:rPr>
              <w:t>CapitalAllocation, RiskAdjustedROIC, ConcentrationExposure, CashConsumptionStacking</w:t>
            </w:r>
          </w:p>
        </w:tc>
      </w:tr>
      <w:tr>
        <w:tc>
          <w:tcPr>
            <w:tcW w:type="dxa" w:w="2016"/>
          </w:tcPr>
          <w:p>
            <w:pPr>
              <w:keepLines/>
            </w:pPr>
            <w:r>
              <w:rPr>
                <w:sz w:val="17"/>
              </w:rPr>
              <w:t>Decision Memory</w:t>
            </w:r>
          </w:p>
        </w:tc>
        <w:tc>
          <w:tcPr>
            <w:tcW w:type="dxa" w:w="720"/>
          </w:tcPr>
          <w:p>
            <w:pPr>
              <w:keepLines/>
            </w:pPr>
            <w:r>
              <w:rPr>
                <w:sz w:val="17"/>
              </w:rPr>
              <w:t>I</w:t>
            </w:r>
          </w:p>
        </w:tc>
        <w:tc>
          <w:tcPr>
            <w:tcW w:type="dxa" w:w="1872"/>
          </w:tcPr>
          <w:p>
            <w:pPr>
              <w:keepLines/>
            </w:pPr>
            <w:r>
              <w:rPr>
                <w:b/>
                <w:color w:val="E65100"/>
                <w:sz w:val="17"/>
              </w:rPr>
              <w:t>Phase 2-3</w:t>
            </w:r>
          </w:p>
        </w:tc>
        <w:tc>
          <w:tcPr>
            <w:tcW w:type="dxa" w:w="720"/>
          </w:tcPr>
          <w:p>
            <w:pPr>
              <w:keepLines/>
            </w:pPr>
            <w:r>
              <w:rPr>
                <w:sz w:val="17"/>
              </w:rPr>
              <w:t>P2</w:t>
            </w:r>
          </w:p>
        </w:tc>
        <w:tc>
          <w:tcPr>
            <w:tcW w:type="dxa" w:w="4032"/>
          </w:tcPr>
          <w:p>
            <w:pPr>
              <w:keepLines/>
            </w:pPr>
            <w:r>
              <w:rPr>
                <w:sz w:val="17"/>
              </w:rPr>
              <w:t>DecisionLog (who/what/when/why), AssumptionLineage, AccuracyTracking, LearningLoop</w:t>
            </w:r>
          </w:p>
        </w:tc>
      </w:tr>
      <w:tr>
        <w:tc>
          <w:tcPr>
            <w:tcW w:type="dxa" w:w="2016"/>
            <w:shd w:fill="757575" w:val="clear"/>
          </w:tcPr>
          <w:p>
            <w:pPr>
              <w:keepLines/>
            </w:pPr>
            <w:r>
              <w:rPr>
                <w:b/>
                <w:color w:val="FFFFFF"/>
                <w:sz w:val="18"/>
              </w:rPr>
              <w:t>Optional Extension Layer</w:t>
            </w:r>
          </w:p>
        </w:tc>
        <w:tc>
          <w:tcPr>
            <w:tcW w:type="dxa" w:w="720"/>
            <w:shd w:fill="757575" w:val="clear"/>
          </w:tcPr>
          <w:p>
            <w:pPr>
              <w:keepLines/>
            </w:pPr>
            <w:r/>
          </w:p>
        </w:tc>
        <w:tc>
          <w:tcPr>
            <w:tcW w:type="dxa" w:w="1872"/>
            <w:shd w:fill="757575" w:val="clear"/>
          </w:tcPr>
          <w:p>
            <w:pPr>
              <w:keepLines/>
            </w:pPr>
            <w:r/>
          </w:p>
        </w:tc>
        <w:tc>
          <w:tcPr>
            <w:tcW w:type="dxa" w:w="720"/>
            <w:shd w:fill="757575" w:val="clear"/>
          </w:tcPr>
          <w:p>
            <w:pPr>
              <w:keepLines/>
            </w:pPr>
            <w:r/>
          </w:p>
        </w:tc>
        <w:tc>
          <w:tcPr>
            <w:tcW w:type="dxa" w:w="4032"/>
            <w:shd w:fill="757575" w:val="clear"/>
          </w:tcPr>
          <w:p>
            <w:pPr>
              <w:keepLines/>
            </w:pPr>
            <w:r/>
          </w:p>
        </w:tc>
      </w:tr>
      <w:tr>
        <w:tc>
          <w:tcPr>
            <w:tcW w:type="dxa" w:w="2016"/>
          </w:tcPr>
          <w:p>
            <w:pPr>
              <w:keepLines/>
            </w:pPr>
            <w:r>
              <w:rPr>
                <w:sz w:val="17"/>
              </w:rPr>
              <w:t>Order-Level Actuals</w:t>
            </w:r>
          </w:p>
        </w:tc>
        <w:tc>
          <w:tcPr>
            <w:tcW w:type="dxa" w:w="720"/>
          </w:tcPr>
          <w:p>
            <w:pPr>
              <w:keepLines/>
            </w:pPr>
            <w:r>
              <w:rPr>
                <w:sz w:val="17"/>
              </w:rPr>
              <w:t>Ext</w:t>
            </w:r>
          </w:p>
        </w:tc>
        <w:tc>
          <w:tcPr>
            <w:tcW w:type="dxa" w:w="1872"/>
          </w:tcPr>
          <w:p>
            <w:pPr>
              <w:keepLines/>
            </w:pPr>
            <w:r>
              <w:rPr>
                <w:b/>
                <w:color w:val="757575"/>
                <w:sz w:val="17"/>
              </w:rPr>
              <w:t>Optional</w:t>
            </w:r>
          </w:p>
        </w:tc>
        <w:tc>
          <w:tcPr>
            <w:tcW w:type="dxa" w:w="720"/>
          </w:tcPr>
          <w:p>
            <w:pPr>
              <w:keepLines/>
            </w:pPr>
            <w:r>
              <w:rPr>
                <w:sz w:val="17"/>
              </w:rPr>
              <w:t>P3+</w:t>
            </w:r>
          </w:p>
        </w:tc>
        <w:tc>
          <w:tcPr>
            <w:tcW w:type="dxa" w:w="4032"/>
          </w:tcPr>
          <w:p>
            <w:pPr>
              <w:keepLines/>
            </w:pPr>
            <w:r>
              <w:rPr>
                <w:sz w:val="17"/>
              </w:rPr>
              <w:t>Raw OrderHeaders, OrderLines — needed for actuals bridge only</w:t>
            </w:r>
          </w:p>
        </w:tc>
      </w:tr>
      <w:tr>
        <w:tc>
          <w:tcPr>
            <w:tcW w:type="dxa" w:w="2016"/>
          </w:tcPr>
          <w:p>
            <w:pPr>
              <w:keepLines/>
            </w:pPr>
            <w:r>
              <w:rPr>
                <w:sz w:val="17"/>
              </w:rPr>
              <w:t>Intraday Demand</w:t>
            </w:r>
          </w:p>
        </w:tc>
        <w:tc>
          <w:tcPr>
            <w:tcW w:type="dxa" w:w="720"/>
          </w:tcPr>
          <w:p>
            <w:pPr>
              <w:keepLines/>
            </w:pPr>
            <w:r>
              <w:rPr>
                <w:sz w:val="17"/>
              </w:rPr>
              <w:t>Ext</w:t>
            </w:r>
          </w:p>
        </w:tc>
        <w:tc>
          <w:tcPr>
            <w:tcW w:type="dxa" w:w="1872"/>
          </w:tcPr>
          <w:p>
            <w:pPr>
              <w:keepLines/>
            </w:pPr>
            <w:r>
              <w:rPr>
                <w:b/>
                <w:color w:val="757575"/>
                <w:sz w:val="17"/>
              </w:rPr>
              <w:t>Optional</w:t>
            </w:r>
          </w:p>
        </w:tc>
        <w:tc>
          <w:tcPr>
            <w:tcW w:type="dxa" w:w="720"/>
          </w:tcPr>
          <w:p>
            <w:pPr>
              <w:keepLines/>
            </w:pPr>
            <w:r>
              <w:rPr>
                <w:sz w:val="17"/>
              </w:rPr>
              <w:t>P3+</w:t>
            </w:r>
          </w:p>
        </w:tc>
        <w:tc>
          <w:tcPr>
            <w:tcW w:type="dxa" w:w="4032"/>
          </w:tcPr>
          <w:p>
            <w:pPr>
              <w:keepLines/>
            </w:pPr>
            <w:r>
              <w:rPr>
                <w:sz w:val="17"/>
              </w:rPr>
              <w:t>30-min demand buckets for labor &amp; prep optimization</w:t>
            </w:r>
          </w:p>
        </w:tc>
      </w:tr>
      <w:tr>
        <w:tc>
          <w:tcPr>
            <w:tcW w:type="dxa" w:w="2016"/>
          </w:tcPr>
          <w:p>
            <w:pPr>
              <w:keepLines/>
            </w:pPr>
            <w:r>
              <w:rPr>
                <w:sz w:val="17"/>
              </w:rPr>
              <w:t>Kitchen Station Ops</w:t>
            </w:r>
          </w:p>
        </w:tc>
        <w:tc>
          <w:tcPr>
            <w:tcW w:type="dxa" w:w="720"/>
          </w:tcPr>
          <w:p>
            <w:pPr>
              <w:keepLines/>
            </w:pPr>
            <w:r>
              <w:rPr>
                <w:sz w:val="17"/>
              </w:rPr>
              <w:t>Ext</w:t>
            </w:r>
          </w:p>
        </w:tc>
        <w:tc>
          <w:tcPr>
            <w:tcW w:type="dxa" w:w="1872"/>
          </w:tcPr>
          <w:p>
            <w:pPr>
              <w:keepLines/>
            </w:pPr>
            <w:r>
              <w:rPr>
                <w:b/>
                <w:color w:val="757575"/>
                <w:sz w:val="17"/>
              </w:rPr>
              <w:t>Optional</w:t>
            </w:r>
          </w:p>
        </w:tc>
        <w:tc>
          <w:tcPr>
            <w:tcW w:type="dxa" w:w="720"/>
          </w:tcPr>
          <w:p>
            <w:pPr>
              <w:keepLines/>
            </w:pPr>
            <w:r>
              <w:rPr>
                <w:sz w:val="17"/>
              </w:rPr>
              <w:t>P3+</w:t>
            </w:r>
          </w:p>
        </w:tc>
        <w:tc>
          <w:tcPr>
            <w:tcW w:type="dxa" w:w="4032"/>
          </w:tcPr>
          <w:p>
            <w:pPr>
              <w:keepLines/>
            </w:pPr>
            <w:r>
              <w:rPr>
                <w:sz w:val="17"/>
              </w:rPr>
              <w:t>StationQueueing, DispatchLogic, PrepTimeMeasurement</w:t>
            </w:r>
          </w:p>
        </w:tc>
      </w:tr>
      <w:tr>
        <w:tc>
          <w:tcPr>
            <w:tcW w:type="dxa" w:w="2016"/>
          </w:tcPr>
          <w:p>
            <w:pPr>
              <w:keepLines/>
            </w:pPr>
            <w:r>
              <w:rPr>
                <w:sz w:val="17"/>
              </w:rPr>
              <w:t>Modifier Analytics</w:t>
            </w:r>
          </w:p>
        </w:tc>
        <w:tc>
          <w:tcPr>
            <w:tcW w:type="dxa" w:w="720"/>
          </w:tcPr>
          <w:p>
            <w:pPr>
              <w:keepLines/>
            </w:pPr>
            <w:r>
              <w:rPr>
                <w:sz w:val="17"/>
              </w:rPr>
              <w:t>Ext</w:t>
            </w:r>
          </w:p>
        </w:tc>
        <w:tc>
          <w:tcPr>
            <w:tcW w:type="dxa" w:w="1872"/>
          </w:tcPr>
          <w:p>
            <w:pPr>
              <w:keepLines/>
            </w:pPr>
            <w:r>
              <w:rPr>
                <w:b/>
                <w:color w:val="757575"/>
                <w:sz w:val="17"/>
              </w:rPr>
              <w:t>Optional</w:t>
            </w:r>
          </w:p>
        </w:tc>
        <w:tc>
          <w:tcPr>
            <w:tcW w:type="dxa" w:w="720"/>
          </w:tcPr>
          <w:p>
            <w:pPr>
              <w:keepLines/>
            </w:pPr>
            <w:r>
              <w:rPr>
                <w:sz w:val="17"/>
              </w:rPr>
              <w:t>P3+</w:t>
            </w:r>
          </w:p>
        </w:tc>
        <w:tc>
          <w:tcPr>
            <w:tcW w:type="dxa" w:w="4032"/>
          </w:tcPr>
          <w:p>
            <w:pPr>
              <w:keepLines/>
            </w:pPr>
            <w:r>
              <w:rPr>
                <w:sz w:val="17"/>
              </w:rPr>
              <w:t>Topping-level order data; recipe line histories</w:t>
            </w:r>
          </w:p>
        </w:tc>
      </w:tr>
      <w:tr>
        <w:tc>
          <w:tcPr>
            <w:tcW w:type="dxa" w:w="2016"/>
          </w:tcPr>
          <w:p>
            <w:pPr>
              <w:keepLines/>
            </w:pPr>
            <w:r>
              <w:rPr>
                <w:sz w:val="17"/>
              </w:rPr>
              <w:t>Workforce Scheduling</w:t>
            </w:r>
          </w:p>
        </w:tc>
        <w:tc>
          <w:tcPr>
            <w:tcW w:type="dxa" w:w="720"/>
          </w:tcPr>
          <w:p>
            <w:pPr>
              <w:keepLines/>
            </w:pPr>
            <w:r>
              <w:rPr>
                <w:sz w:val="17"/>
              </w:rPr>
              <w:t>Ext</w:t>
            </w:r>
          </w:p>
        </w:tc>
        <w:tc>
          <w:tcPr>
            <w:tcW w:type="dxa" w:w="1872"/>
          </w:tcPr>
          <w:p>
            <w:pPr>
              <w:keepLines/>
            </w:pPr>
            <w:r>
              <w:rPr>
                <w:b/>
                <w:color w:val="757575"/>
                <w:sz w:val="17"/>
              </w:rPr>
              <w:t>Optional</w:t>
            </w:r>
          </w:p>
        </w:tc>
        <w:tc>
          <w:tcPr>
            <w:tcW w:type="dxa" w:w="720"/>
          </w:tcPr>
          <w:p>
            <w:pPr>
              <w:keepLines/>
            </w:pPr>
            <w:r>
              <w:rPr>
                <w:sz w:val="17"/>
              </w:rPr>
              <w:t>P3+</w:t>
            </w:r>
          </w:p>
        </w:tc>
        <w:tc>
          <w:tcPr>
            <w:tcW w:type="dxa" w:w="4032"/>
          </w:tcPr>
          <w:p>
            <w:pPr>
              <w:keepLines/>
            </w:pPr>
            <w:r>
              <w:rPr>
                <w:sz w:val="17"/>
              </w:rPr>
              <w:t>Shift optimization, individual staff scheduling — HR ops domain</w:t>
            </w:r>
          </w:p>
        </w:tc>
      </w:tr>
      <w:tr>
        <w:tc>
          <w:tcPr>
            <w:tcW w:type="dxa" w:w="2016"/>
          </w:tcPr>
          <w:p>
            <w:pPr>
              <w:keepLines/>
            </w:pPr>
            <w:r>
              <w:rPr>
                <w:sz w:val="17"/>
              </w:rPr>
              <w:t>Real-time Telemetry</w:t>
            </w:r>
          </w:p>
        </w:tc>
        <w:tc>
          <w:tcPr>
            <w:tcW w:type="dxa" w:w="720"/>
          </w:tcPr>
          <w:p>
            <w:pPr>
              <w:keepLines/>
            </w:pPr>
            <w:r>
              <w:rPr>
                <w:sz w:val="17"/>
              </w:rPr>
              <w:t>Ext</w:t>
            </w:r>
          </w:p>
        </w:tc>
        <w:tc>
          <w:tcPr>
            <w:tcW w:type="dxa" w:w="1872"/>
          </w:tcPr>
          <w:p>
            <w:pPr>
              <w:keepLines/>
            </w:pPr>
            <w:r>
              <w:rPr>
                <w:b/>
                <w:color w:val="757575"/>
                <w:sz w:val="17"/>
              </w:rPr>
              <w:t>Optional</w:t>
            </w:r>
          </w:p>
        </w:tc>
        <w:tc>
          <w:tcPr>
            <w:tcW w:type="dxa" w:w="720"/>
          </w:tcPr>
          <w:p>
            <w:pPr>
              <w:keepLines/>
            </w:pPr>
            <w:r>
              <w:rPr>
                <w:sz w:val="17"/>
              </w:rPr>
              <w:t>P3+</w:t>
            </w:r>
          </w:p>
        </w:tc>
        <w:tc>
          <w:tcPr>
            <w:tcW w:type="dxa" w:w="4032"/>
          </w:tcPr>
          <w:p>
            <w:pPr>
              <w:keepLines/>
            </w:pPr>
            <w:r>
              <w:rPr>
                <w:sz w:val="17"/>
              </w:rPr>
              <w:t>Live platform order feeds, POS integration — BI/Analytics layer</w:t>
            </w:r>
          </w:p>
        </w:tc>
      </w:tr>
    </w:tbl>
    <w:p>
      <w:r>
        <w:br w:type="page"/>
      </w:r>
    </w:p>
    <w:p>
      <w:pPr>
        <w:pStyle w:val="Heading1"/>
        <w:keepNext/>
      </w:pPr>
      <w:r>
        <w:t>6. Planning Spine Detail</w:t>
      </w:r>
    </w:p>
    <w:p>
      <w:pPr>
        <w:spacing w:before="0" w:after="80"/>
        <w:jc w:val="left"/>
      </w:pPr>
      <w:r>
        <w:rPr>
          <w:b w:val="0"/>
          <w:i w:val="0"/>
          <w:sz w:val="20"/>
        </w:rPr>
        <w:t>The Planning Spine is the governing framework for all projections. Every entity in every other layer is contextualized within a Company → Scenario → AssumptionSet → PlanningPeriod hierarchy.</w:t>
      </w:r>
    </w:p>
    <w:p/>
    <w:tbl>
      <w:tblPr>
        <w:tblStyle w:val="TableGrid"/>
        <w:tblW w:type="auto" w:w="0"/>
        <w:tblLook w:firstColumn="1" w:firstRow="1" w:lastColumn="0" w:lastRow="0" w:noHBand="0" w:noVBand="1" w:val="04A0"/>
      </w:tblPr>
      <w:tblGrid>
        <w:gridCol w:w="3120"/>
        <w:gridCol w:w="3120"/>
        <w:gridCol w:w="3120"/>
      </w:tblGrid>
      <w:tr>
        <w:tc>
          <w:tcPr>
            <w:tcW w:type="dxa" w:w="1872"/>
            <w:shd w:fill="1B3A6B" w:val="clear"/>
          </w:tcPr>
          <w:p>
            <w:pPr>
              <w:keepLines/>
            </w:pPr>
            <w:r>
              <w:rPr>
                <w:b/>
                <w:color w:val="FFFFFF"/>
                <w:sz w:val="20"/>
              </w:rPr>
              <w:t>Entity</w:t>
            </w:r>
          </w:p>
        </w:tc>
        <w:tc>
          <w:tcPr>
            <w:tcW w:type="dxa" w:w="2880"/>
            <w:shd w:fill="1B3A6B" w:val="clear"/>
          </w:tcPr>
          <w:p>
            <w:pPr>
              <w:keepLines/>
            </w:pPr>
            <w:r>
              <w:rPr>
                <w:b/>
                <w:color w:val="FFFFFF"/>
                <w:sz w:val="20"/>
              </w:rPr>
              <w:t>Purpose</w:t>
            </w:r>
          </w:p>
        </w:tc>
        <w:tc>
          <w:tcPr>
            <w:tcW w:type="dxa" w:w="4608"/>
            <w:shd w:fill="1B3A6B" w:val="clear"/>
          </w:tcPr>
          <w:p>
            <w:pPr>
              <w:keepLines/>
            </w:pPr>
            <w:r>
              <w:rPr>
                <w:b/>
                <w:color w:val="FFFFFF"/>
                <w:sz w:val="20"/>
              </w:rPr>
              <w:t>Key Fields</w:t>
            </w:r>
          </w:p>
        </w:tc>
      </w:tr>
      <w:tr>
        <w:tc>
          <w:tcPr>
            <w:tcW w:type="dxa" w:w="1872"/>
            <w:shd w:fill="EBF3FF" w:val="clear"/>
          </w:tcPr>
          <w:p>
            <w:pPr>
              <w:keepLines/>
            </w:pPr>
            <w:r>
              <w:rPr>
                <w:b/>
                <w:sz w:val="19"/>
              </w:rPr>
              <w:t>Company</w:t>
            </w:r>
          </w:p>
        </w:tc>
        <w:tc>
          <w:tcPr>
            <w:tcW w:type="dxa" w:w="2880"/>
            <w:shd w:fill="EBF3FF" w:val="clear"/>
          </w:tcPr>
          <w:p>
            <w:pPr>
              <w:keepLines/>
            </w:pPr>
            <w:r>
              <w:rPr>
                <w:sz w:val="19"/>
              </w:rPr>
              <w:t>Legal entity root.</w:t>
            </w:r>
          </w:p>
        </w:tc>
        <w:tc>
          <w:tcPr>
            <w:tcW w:type="dxa" w:w="4608"/>
            <w:shd w:fill="EBF3FF" w:val="clear"/>
          </w:tcPr>
          <w:p>
            <w:pPr>
              <w:keepLines/>
            </w:pPr>
            <w:r>
              <w:rPr>
                <w:sz w:val="19"/>
              </w:rPr>
              <w:t>ID, Name, BaseCurrency, FiscalYearStart, TaxJurisdiction</w:t>
            </w:r>
          </w:p>
        </w:tc>
      </w:tr>
      <w:tr>
        <w:tc>
          <w:tcPr>
            <w:tcW w:type="dxa" w:w="1872"/>
            <w:shd w:fill="FFFFFF" w:val="clear"/>
          </w:tcPr>
          <w:p>
            <w:pPr>
              <w:keepLines/>
            </w:pPr>
            <w:r>
              <w:rPr>
                <w:b/>
                <w:sz w:val="19"/>
              </w:rPr>
              <w:t>Scenario</w:t>
            </w:r>
          </w:p>
        </w:tc>
        <w:tc>
          <w:tcPr>
            <w:tcW w:type="dxa" w:w="2880"/>
            <w:shd w:fill="FFFFFF" w:val="clear"/>
          </w:tcPr>
          <w:p>
            <w:pPr>
              <w:keepLines/>
            </w:pPr>
            <w:r>
              <w:rPr>
                <w:sz w:val="19"/>
              </w:rPr>
              <w:t>Strategic versioning (Base, Bull, Bear, Stress).</w:t>
            </w:r>
          </w:p>
        </w:tc>
        <w:tc>
          <w:tcPr>
            <w:tcW w:type="dxa" w:w="4608"/>
            <w:shd w:fill="FFFFFF" w:val="clear"/>
          </w:tcPr>
          <w:p>
            <w:pPr>
              <w:keepLines/>
            </w:pPr>
            <w:r>
              <w:rPr>
                <w:sz w:val="19"/>
              </w:rPr>
              <w:t>ID, Name, Type, Description, ParentScenarioID</w:t>
            </w:r>
          </w:p>
        </w:tc>
      </w:tr>
      <w:tr>
        <w:tc>
          <w:tcPr>
            <w:tcW w:type="dxa" w:w="1872"/>
            <w:shd w:fill="EBF3FF" w:val="clear"/>
          </w:tcPr>
          <w:p>
            <w:pPr>
              <w:keepLines/>
            </w:pPr>
            <w:r>
              <w:rPr>
                <w:b/>
                <w:sz w:val="19"/>
              </w:rPr>
              <w:t>Assumption Set</w:t>
            </w:r>
          </w:p>
        </w:tc>
        <w:tc>
          <w:tcPr>
            <w:tcW w:type="dxa" w:w="2880"/>
            <w:shd w:fill="EBF3FF" w:val="clear"/>
          </w:tcPr>
          <w:p>
            <w:pPr>
              <w:keepLines/>
            </w:pPr>
            <w:r>
              <w:rPr>
                <w:sz w:val="19"/>
              </w:rPr>
              <w:t>Versioned package of input drivers.</w:t>
            </w:r>
          </w:p>
        </w:tc>
        <w:tc>
          <w:tcPr>
            <w:tcW w:type="dxa" w:w="4608"/>
            <w:shd w:fill="EBF3FF" w:val="clear"/>
          </w:tcPr>
          <w:p>
            <w:pPr>
              <w:keepLines/>
            </w:pPr>
            <w:r>
              <w:rPr>
                <w:sz w:val="19"/>
              </w:rPr>
              <w:t>ID, ScenarioID, VersionNumber, Status, Owner, ConfidenceLevel</w:t>
            </w:r>
          </w:p>
        </w:tc>
      </w:tr>
      <w:tr>
        <w:tc>
          <w:tcPr>
            <w:tcW w:type="dxa" w:w="1872"/>
            <w:shd w:fill="FFFFFF" w:val="clear"/>
          </w:tcPr>
          <w:p>
            <w:pPr>
              <w:keepLines/>
            </w:pPr>
            <w:r>
              <w:rPr>
                <w:b/>
                <w:sz w:val="19"/>
              </w:rPr>
              <w:t>Planning Period</w:t>
            </w:r>
          </w:p>
        </w:tc>
        <w:tc>
          <w:tcPr>
            <w:tcW w:type="dxa" w:w="2880"/>
            <w:shd w:fill="FFFFFF" w:val="clear"/>
          </w:tcPr>
          <w:p>
            <w:pPr>
              <w:keepLines/>
            </w:pPr>
            <w:r>
              <w:rPr>
                <w:sz w:val="19"/>
              </w:rPr>
              <w:t>Monthly time bucket for projection.</w:t>
            </w:r>
          </w:p>
        </w:tc>
        <w:tc>
          <w:tcPr>
            <w:tcW w:type="dxa" w:w="4608"/>
            <w:shd w:fill="FFFFFF" w:val="clear"/>
          </w:tcPr>
          <w:p>
            <w:pPr>
              <w:keepLines/>
            </w:pPr>
            <w:r>
              <w:rPr>
                <w:sz w:val="19"/>
              </w:rPr>
              <w:t>ID, StartDate, EndDate, Type (Month/Qtr/Year), IsHistorical</w:t>
            </w:r>
          </w:p>
        </w:tc>
      </w:tr>
      <w:tr>
        <w:tc>
          <w:tcPr>
            <w:tcW w:type="dxa" w:w="1872"/>
            <w:shd w:fill="EBF3FF" w:val="clear"/>
          </w:tcPr>
          <w:p>
            <w:pPr>
              <w:keepLines/>
            </w:pPr>
            <w:r>
              <w:rPr>
                <w:b/>
                <w:sz w:val="19"/>
              </w:rPr>
              <w:t>Plan Version</w:t>
            </w:r>
          </w:p>
        </w:tc>
        <w:tc>
          <w:tcPr>
            <w:tcW w:type="dxa" w:w="2880"/>
            <w:shd w:fill="EBF3FF" w:val="clear"/>
          </w:tcPr>
          <w:p>
            <w:pPr>
              <w:keepLines/>
            </w:pPr>
            <w:r>
              <w:rPr>
                <w:sz w:val="19"/>
              </w:rPr>
              <w:t>Immutable snapshot of an approved plan.</w:t>
            </w:r>
          </w:p>
        </w:tc>
        <w:tc>
          <w:tcPr>
            <w:tcW w:type="dxa" w:w="4608"/>
            <w:shd w:fill="EBF3FF" w:val="clear"/>
          </w:tcPr>
          <w:p>
            <w:pPr>
              <w:keepLines/>
            </w:pPr>
            <w:r>
              <w:rPr>
                <w:sz w:val="19"/>
              </w:rPr>
              <w:t>VersionNumber, VersionType (Budget/Forecast/Reforecast/Board), CreatedBy, IsFrozen, PublishedAt, ParentVersionID</w:t>
            </w:r>
          </w:p>
        </w:tc>
      </w:tr>
      <w:tr>
        <w:tc>
          <w:tcPr>
            <w:tcW w:type="dxa" w:w="1872"/>
            <w:shd w:fill="FFFFFF" w:val="clear"/>
          </w:tcPr>
          <w:p>
            <w:pPr>
              <w:keepLines/>
            </w:pPr>
            <w:r>
              <w:rPr>
                <w:b/>
                <w:sz w:val="19"/>
              </w:rPr>
              <w:t>Planning Calendar</w:t>
            </w:r>
          </w:p>
        </w:tc>
        <w:tc>
          <w:tcPr>
            <w:tcW w:type="dxa" w:w="2880"/>
            <w:shd w:fill="FFFFFF" w:val="clear"/>
          </w:tcPr>
          <w:p>
            <w:pPr>
              <w:keepLines/>
            </w:pPr>
            <w:r>
              <w:rPr>
                <w:sz w:val="19"/>
              </w:rPr>
              <w:t>Template of all periods for a fiscal year.</w:t>
            </w:r>
          </w:p>
        </w:tc>
        <w:tc>
          <w:tcPr>
            <w:tcW w:type="dxa" w:w="4608"/>
            <w:shd w:fill="FFFFFF" w:val="clear"/>
          </w:tcPr>
          <w:p>
            <w:pPr>
              <w:keepLines/>
            </w:pPr>
            <w:r>
              <w:rPr>
                <w:sz w:val="19"/>
              </w:rPr>
              <w:t>CalendarID, FiscalYearStart, PeriodCount, GrainType</w:t>
            </w:r>
          </w:p>
        </w:tc>
      </w:tr>
    </w:tbl>
    <w:p/>
    <w:p>
      <w:pPr>
        <w:pStyle w:val="Heading2"/>
        <w:keepNext/>
      </w:pPr>
      <w:r>
        <w:t>Plan Version Rule</w:t>
      </w:r>
    </w:p>
    <w:p>
      <w:pPr>
        <w:spacing w:before="0" w:after="80"/>
        <w:jc w:val="left"/>
        <w:keepLines/>
      </w:pPr>
      <w:r>
        <w:rPr>
          <w:b w:val="0"/>
          <w:i w:val="0"/>
          <w:sz w:val="20"/>
        </w:rPr>
        <w:t>Never overwrite an approved plan. Always create a new version. This supports budget vs. forecast vs. actual comparison without data loss. Each version carries: VersionType (Budget / Forecast / Reforecast / BoardSubmission), CreatedBy, CreatedAt, IsFrozen, PublishedAt, and ParentVersionID.</w:t>
      </w:r>
    </w:p>
    <w:p/>
    <w:p>
      <w:pPr>
        <w:pStyle w:val="Heading2"/>
        <w:keepNext/>
      </w:pPr>
      <w:r>
        <w:t>Assumption Confidence Framework</w:t>
      </w:r>
    </w:p>
    <w:tbl>
      <w:tblPr>
        <w:tblStyle w:val="TableGrid"/>
        <w:tblW w:type="auto" w:w="0"/>
        <w:tblLook w:firstColumn="1" w:firstRow="1" w:lastColumn="0" w:lastRow="0" w:noHBand="0" w:noVBand="1" w:val="04A0"/>
      </w:tblPr>
      <w:tblGrid>
        <w:gridCol w:w="3120"/>
        <w:gridCol w:w="3120"/>
        <w:gridCol w:w="3120"/>
      </w:tblGrid>
      <w:tr>
        <w:tc>
          <w:tcPr>
            <w:tcW w:type="dxa" w:w="1872"/>
            <w:shd w:fill="1B3A6B" w:val="clear"/>
          </w:tcPr>
          <w:p>
            <w:pPr>
              <w:keepLines/>
            </w:pPr>
            <w:r>
              <w:rPr>
                <w:b/>
                <w:color w:val="FFFFFF"/>
                <w:sz w:val="20"/>
              </w:rPr>
              <w:t>Confidence Level</w:t>
            </w:r>
          </w:p>
        </w:tc>
        <w:tc>
          <w:tcPr>
            <w:tcW w:type="dxa" w:w="4032"/>
            <w:shd w:fill="1B3A6B" w:val="clear"/>
          </w:tcPr>
          <w:p>
            <w:pPr>
              <w:keepLines/>
            </w:pPr>
            <w:r>
              <w:rPr>
                <w:b/>
                <w:color w:val="FFFFFF"/>
                <w:sz w:val="20"/>
              </w:rPr>
              <w:t>Criteria</w:t>
            </w:r>
          </w:p>
        </w:tc>
        <w:tc>
          <w:tcPr>
            <w:tcW w:type="dxa" w:w="3456"/>
            <w:shd w:fill="1B3A6B" w:val="clear"/>
          </w:tcPr>
          <w:p>
            <w:pPr>
              <w:keepLines/>
            </w:pPr>
            <w:r>
              <w:rPr>
                <w:b/>
                <w:color w:val="FFFFFF"/>
                <w:sz w:val="20"/>
              </w:rPr>
              <w:t>Action Required</w:t>
            </w:r>
          </w:p>
        </w:tc>
      </w:tr>
      <w:tr>
        <w:tc>
          <w:tcPr>
            <w:tcW w:type="dxa" w:w="1872"/>
          </w:tcPr>
          <w:p>
            <w:pPr>
              <w:keepLines/>
            </w:pPr>
            <w:r>
              <w:rPr>
                <w:b/>
                <w:color w:val="1B6B35"/>
                <w:sz w:val="19"/>
              </w:rPr>
              <w:t>High</w:t>
            </w:r>
          </w:p>
        </w:tc>
        <w:tc>
          <w:tcPr>
            <w:tcW w:type="dxa" w:w="4032"/>
          </w:tcPr>
          <w:p>
            <w:pPr>
              <w:keepLines/>
            </w:pPr>
            <w:r>
              <w:rPr>
                <w:sz w:val="19"/>
              </w:rPr>
              <w:t>Historical data or contractual commitment</w:t>
            </w:r>
          </w:p>
        </w:tc>
        <w:tc>
          <w:tcPr>
            <w:tcW w:type="dxa" w:w="3456"/>
          </w:tcPr>
          <w:p>
            <w:pPr>
              <w:keepLines/>
            </w:pPr>
            <w:r>
              <w:rPr>
                <w:sz w:val="19"/>
              </w:rPr>
              <w:t>Green — use as-is</w:t>
            </w:r>
          </w:p>
        </w:tc>
      </w:tr>
      <w:tr>
        <w:tc>
          <w:tcPr>
            <w:tcW w:type="dxa" w:w="1872"/>
          </w:tcPr>
          <w:p>
            <w:pPr>
              <w:keepLines/>
            </w:pPr>
            <w:r>
              <w:rPr>
                <w:b/>
                <w:color w:val="E65100"/>
                <w:sz w:val="19"/>
              </w:rPr>
              <w:t>Medium</w:t>
            </w:r>
          </w:p>
        </w:tc>
        <w:tc>
          <w:tcPr>
            <w:tcW w:type="dxa" w:w="4032"/>
          </w:tcPr>
          <w:p>
            <w:pPr>
              <w:keepLines/>
            </w:pPr>
            <w:r>
              <w:rPr>
                <w:sz w:val="19"/>
              </w:rPr>
              <w:t>Market benchmark or comparable data</w:t>
            </w:r>
          </w:p>
        </w:tc>
        <w:tc>
          <w:tcPr>
            <w:tcW w:type="dxa" w:w="3456"/>
          </w:tcPr>
          <w:p>
            <w:pPr>
              <w:keepLines/>
            </w:pPr>
            <w:r>
              <w:rPr>
                <w:sz w:val="19"/>
              </w:rPr>
              <w:t>Amber — validate before board submission</w:t>
            </w:r>
          </w:p>
        </w:tc>
      </w:tr>
      <w:tr>
        <w:tc>
          <w:tcPr>
            <w:tcW w:type="dxa" w:w="1872"/>
          </w:tcPr>
          <w:p>
            <w:pPr>
              <w:keepLines/>
            </w:pPr>
            <w:r>
              <w:rPr>
                <w:b/>
                <w:color w:val="B71C1C"/>
                <w:sz w:val="19"/>
              </w:rPr>
              <w:t>Low</w:t>
            </w:r>
          </w:p>
        </w:tc>
        <w:tc>
          <w:tcPr>
            <w:tcW w:type="dxa" w:w="4032"/>
          </w:tcPr>
          <w:p>
            <w:pPr>
              <w:keepLines/>
            </w:pPr>
            <w:r>
              <w:rPr>
                <w:sz w:val="19"/>
              </w:rPr>
              <w:t>Estimate with reasoning documented</w:t>
            </w:r>
          </w:p>
        </w:tc>
        <w:tc>
          <w:tcPr>
            <w:tcW w:type="dxa" w:w="3456"/>
          </w:tcPr>
          <w:p>
            <w:pPr>
              <w:keepLines/>
            </w:pPr>
            <w:r>
              <w:rPr>
                <w:sz w:val="19"/>
              </w:rPr>
              <w:t>Red — sensitivity analysis mandatory</w:t>
            </w:r>
          </w:p>
        </w:tc>
      </w:tr>
      <w:tr>
        <w:tc>
          <w:tcPr>
            <w:tcW w:type="dxa" w:w="1872"/>
          </w:tcPr>
          <w:p>
            <w:pPr>
              <w:keepLines/>
            </w:pPr>
            <w:r>
              <w:rPr>
                <w:b/>
                <w:color w:val="880000"/>
                <w:sz w:val="19"/>
              </w:rPr>
              <w:t>Estimated</w:t>
            </w:r>
          </w:p>
        </w:tc>
        <w:tc>
          <w:tcPr>
            <w:tcW w:type="dxa" w:w="4032"/>
          </w:tcPr>
          <w:p>
            <w:pPr>
              <w:keepLines/>
            </w:pPr>
            <w:r>
              <w:rPr>
                <w:sz w:val="19"/>
              </w:rPr>
              <w:t>Informed guess — minimal evidence</w:t>
            </w:r>
          </w:p>
        </w:tc>
        <w:tc>
          <w:tcPr>
            <w:tcW w:type="dxa" w:w="3456"/>
          </w:tcPr>
          <w:p>
            <w:pPr>
              <w:keepLines/>
            </w:pPr>
            <w:r>
              <w:rPr>
                <w:sz w:val="19"/>
              </w:rPr>
              <w:t>Critical — flag for early validation</w:t>
            </w:r>
          </w:p>
        </w:tc>
      </w:tr>
    </w:tbl>
    <w:p/>
    <w:p>
      <w:pPr>
        <w:pStyle w:val="Heading2"/>
        <w:keepNext/>
      </w:pPr>
      <w:r>
        <w:t>Governance Approval State Machine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CCCCCC" w:val="clear"/>
          </w:tcPr>
          <w:p>
            <w:pPr>
              <w:jc w:val="center"/>
              <w:keepLines/>
            </w:pPr>
            <w:r>
              <w:rPr>
                <w:b/>
                <w:color w:val="FFFFFF"/>
                <w:sz w:val="20"/>
              </w:rPr>
              <w:t>Draft</w:t>
            </w:r>
          </w:p>
        </w:tc>
        <w:tc>
          <w:tcPr>
            <w:tcW w:type="dxa" w:w="1872"/>
            <w:shd w:fill="1565C0" w:val="clear"/>
          </w:tcPr>
          <w:p>
            <w:pPr>
              <w:jc w:val="center"/>
              <w:keepLines/>
            </w:pPr>
            <w:r>
              <w:rPr>
                <w:b/>
                <w:color w:val="FFFFFF"/>
                <w:sz w:val="20"/>
              </w:rPr>
              <w:t>Under Review</w:t>
            </w:r>
          </w:p>
        </w:tc>
        <w:tc>
          <w:tcPr>
            <w:tcW w:type="dxa" w:w="1872"/>
            <w:shd w:fill="1B6B35" w:val="clear"/>
          </w:tcPr>
          <w:p>
            <w:pPr>
              <w:jc w:val="center"/>
              <w:keepLines/>
            </w:pPr>
            <w:r>
              <w:rPr>
                <w:b/>
                <w:color w:val="FFFFFF"/>
                <w:sz w:val="20"/>
              </w:rPr>
              <w:t>Approved</w:t>
            </w:r>
          </w:p>
        </w:tc>
        <w:tc>
          <w:tcPr>
            <w:tcW w:type="dxa" w:w="1872"/>
            <w:shd w:fill="6A1B9A" w:val="clear"/>
          </w:tcPr>
          <w:p>
            <w:pPr>
              <w:jc w:val="center"/>
              <w:keepLines/>
            </w:pPr>
            <w:r>
              <w:rPr>
                <w:b/>
                <w:color w:val="FFFFFF"/>
                <w:sz w:val="20"/>
              </w:rPr>
              <w:t>Published</w:t>
            </w:r>
          </w:p>
        </w:tc>
        <w:tc>
          <w:tcPr>
            <w:tcW w:type="dxa" w:w="1872"/>
            <w:shd w:fill="37474F" w:val="clear"/>
          </w:tcPr>
          <w:p>
            <w:pPr>
              <w:jc w:val="center"/>
              <w:keepLines/>
            </w:pPr>
            <w:r>
              <w:rPr>
                <w:b/>
                <w:color w:val="FFFFFF"/>
                <w:sz w:val="20"/>
              </w:rPr>
              <w:t>Frozen</w:t>
            </w:r>
          </w:p>
        </w:tc>
      </w:tr>
    </w:tbl>
    <w:p>
      <w:r>
        <w:br w:type="page"/>
      </w:r>
    </w:p>
    <w:p>
      <w:pPr>
        <w:pStyle w:val="Heading2"/>
        <w:keepNext/>
      </w:pPr>
      <w:r>
        <w:t>Planning Workflows</w:t>
      </w:r>
    </w:p>
    <w:p>
      <w:pPr>
        <w:pStyle w:val="Heading3"/>
        <w:keepNext/>
      </w:pPr>
      <w:r>
        <w:t>Startup Planning Workflow</w:t>
      </w:r>
    </w:p>
    <w:p>
      <w:pPr>
        <w:pStyle w:val="ListNumber"/>
        <w:spacing w:after="40"/>
        <w:ind w:left="360"/>
      </w:pPr>
      <w:r>
        <w:rPr>
          <w:sz w:val="20"/>
        </w:rPr>
        <w:t>Define market shortlist using Market Attractiveness Scoring</w:t>
      </w:r>
    </w:p>
    <w:p>
      <w:pPr>
        <w:pStyle w:val="ListNumber"/>
        <w:spacing w:after="40"/>
        <w:ind w:left="360"/>
      </w:pPr>
      <w:r>
        <w:rPr>
          <w:sz w:val="20"/>
        </w:rPr>
        <w:t>Select starting micro. Define kitchen format and operating model.</w:t>
      </w:r>
    </w:p>
    <w:p>
      <w:pPr>
        <w:pStyle w:val="ListNumber"/>
        <w:spacing w:after="40"/>
        <w:ind w:left="360"/>
      </w:pPr>
      <w:r>
        <w:rPr>
          <w:sz w:val="20"/>
        </w:rPr>
        <w:t>Set Base / Upside / Downside / Stress Scenarios</w:t>
      </w:r>
    </w:p>
    <w:p>
      <w:pPr>
        <w:pStyle w:val="ListNumber"/>
        <w:spacing w:after="40"/>
        <w:ind w:left="360"/>
      </w:pPr>
      <w:r>
        <w:rPr>
          <w:sz w:val="20"/>
        </w:rPr>
        <w:t>Build Commercial, Cost, and Funding Drivers per scenario</w:t>
      </w:r>
    </w:p>
    <w:p>
      <w:pPr>
        <w:pStyle w:val="ListNumber"/>
        <w:spacing w:after="40"/>
        <w:ind w:left="360"/>
      </w:pPr>
      <w:r>
        <w:rPr>
          <w:sz w:val="20"/>
        </w:rPr>
        <w:t>Project P&amp;L, Cash Flow, Balance Sheet for 36-60 months</w:t>
      </w:r>
    </w:p>
    <w:p>
      <w:pPr>
        <w:pStyle w:val="ListNumber"/>
        <w:spacing w:after="40"/>
        <w:ind w:left="360"/>
      </w:pPr>
      <w:r>
        <w:rPr>
          <w:sz w:val="20"/>
        </w:rPr>
        <w:t>Evaluate Capital Requirement, Runway, and Raise Timing</w:t>
      </w:r>
    </w:p>
    <w:p>
      <w:pPr>
        <w:pStyle w:val="ListNumber"/>
        <w:spacing w:after="40"/>
        <w:ind w:left="360"/>
      </w:pPr>
      <w:r>
        <w:rPr>
          <w:sz w:val="20"/>
        </w:rPr>
        <w:t>Run Sensitivity Analysis — identify top 5 risk drivers</w:t>
      </w:r>
    </w:p>
    <w:p>
      <w:pPr>
        <w:pStyle w:val="ListNumber"/>
        <w:spacing w:after="40"/>
        <w:ind w:left="360"/>
      </w:pPr>
      <w:r>
        <w:rPr>
          <w:sz w:val="20"/>
        </w:rPr>
        <w:t>Freeze Operating Plan. Use as investor and board baseline.</w:t>
      </w:r>
    </w:p>
    <w:p/>
    <w:p>
      <w:pPr>
        <w:pStyle w:val="Heading3"/>
        <w:keepNext/>
      </w:pPr>
      <w:r>
        <w:t>Recurring Planning Cycle Workflow</w:t>
      </w:r>
    </w:p>
    <w:p>
      <w:pPr>
        <w:pStyle w:val="ListNumber"/>
        <w:spacing w:after="40"/>
        <w:ind w:left="360"/>
      </w:pPr>
      <w:r>
        <w:rPr>
          <w:sz w:val="20"/>
        </w:rPr>
        <w:t>Clone prior approved plan as new Scenario</w:t>
      </w:r>
    </w:p>
    <w:p>
      <w:pPr>
        <w:pStyle w:val="ListNumber"/>
        <w:spacing w:after="40"/>
        <w:ind w:left="360"/>
      </w:pPr>
      <w:r>
        <w:rPr>
          <w:sz w:val="20"/>
        </w:rPr>
        <w:t>Create new AssumptionSet for the cycle</w:t>
      </w:r>
    </w:p>
    <w:p>
      <w:pPr>
        <w:pStyle w:val="ListNumber"/>
        <w:spacing w:after="40"/>
        <w:ind w:left="360"/>
      </w:pPr>
      <w:r>
        <w:rPr>
          <w:sz w:val="20"/>
        </w:rPr>
        <w:t>Update demand, cost, hiring, marketing, and funding assumptions</w:t>
      </w:r>
    </w:p>
    <w:p>
      <w:pPr>
        <w:pStyle w:val="ListNumber"/>
        <w:spacing w:after="40"/>
        <w:ind w:left="360"/>
      </w:pPr>
      <w:r>
        <w:rPr>
          <w:sz w:val="20"/>
        </w:rPr>
        <w:t>Recompute Projected Statements &amp; KPIs</w:t>
      </w:r>
    </w:p>
    <w:p>
      <w:pPr>
        <w:pStyle w:val="ListNumber"/>
        <w:spacing w:after="40"/>
        <w:ind w:left="360"/>
      </w:pPr>
      <w:r>
        <w:rPr>
          <w:sz w:val="20"/>
        </w:rPr>
        <w:t>Compare to prior plan + board target</w:t>
      </w:r>
    </w:p>
    <w:p>
      <w:pPr>
        <w:pStyle w:val="ListNumber"/>
        <w:spacing w:after="40"/>
        <w:ind w:left="360"/>
      </w:pPr>
      <w:r>
        <w:rPr>
          <w:sz w:val="20"/>
        </w:rPr>
        <w:t>Run Stress &amp; Sensitivity tests</w:t>
      </w:r>
    </w:p>
    <w:p>
      <w:pPr>
        <w:pStyle w:val="ListNumber"/>
        <w:spacing w:after="40"/>
        <w:ind w:left="360"/>
      </w:pPr>
      <w:r>
        <w:rPr>
          <w:sz w:val="20"/>
        </w:rPr>
        <w:t>Seek Approval (route through governance workflow)</w:t>
      </w:r>
    </w:p>
    <w:p>
      <w:pPr>
        <w:pStyle w:val="ListNumber"/>
        <w:spacing w:after="40"/>
        <w:ind w:left="360"/>
      </w:pPr>
      <w:r>
        <w:rPr>
          <w:sz w:val="20"/>
        </w:rPr>
        <w:t>Publish new plan. Prior plan is automatically archived (not deleted).</w:t>
      </w:r>
    </w:p>
    <w:p>
      <w:r>
        <w:br w:type="page"/>
      </w:r>
    </w:p>
    <w:p>
      <w:pPr>
        <w:pStyle w:val="Heading1"/>
        <w:keepNext/>
      </w:pPr>
      <w:r>
        <w:t>7. Driver Engine Detail</w:t>
      </w:r>
    </w:p>
    <w:p>
      <w:pPr>
        <w:pStyle w:val="Heading2"/>
        <w:keepNext/>
      </w:pPr>
      <w:r>
        <w:t>7A. Products &amp; Menu Architecture</w:t>
      </w:r>
    </w:p>
    <w:p>
      <w:pPr>
        <w:spacing w:before="0" w:after="80"/>
        <w:jc w:val="left"/>
      </w:pPr>
      <w:r>
        <w:rPr>
          <w:b/>
          <w:i w:val="0"/>
          <w:sz w:val="20"/>
        </w:rPr>
        <w:t>Menu Hierarchy: Menu → Collection → Category → Product Family → Product → Variant</w:t>
      </w:r>
    </w:p>
    <w:p>
      <w:pPr>
        <w:pStyle w:val="ListBullet"/>
        <w:spacing w:after="40"/>
        <w:ind w:left="360"/>
      </w:pPr>
      <w:r>
        <w:rPr>
          <w:b w:val="0"/>
          <w:sz w:val="20"/>
        </w:rPr>
        <w:t>Collections: 'Best Sellers', 'Value Meals', 'Late Night', 'Family Deals'</w:t>
      </w:r>
    </w:p>
    <w:p>
      <w:pPr>
        <w:pStyle w:val="ListBullet"/>
        <w:spacing w:after="40"/>
        <w:ind w:left="360"/>
      </w:pPr>
      <w:r>
        <w:rPr>
          <w:b w:val="0"/>
          <w:sz w:val="20"/>
        </w:rPr>
        <w:t>Categories: Classic Pizzas, Gourmet Pizzas, Sides, Beverages, Desserts</w:t>
      </w:r>
    </w:p>
    <w:p>
      <w:pPr>
        <w:pStyle w:val="ListBullet"/>
        <w:spacing w:after="40"/>
        <w:ind w:left="360"/>
      </w:pPr>
      <w:r>
        <w:rPr>
          <w:b w:val="0"/>
          <w:sz w:val="20"/>
        </w:rPr>
        <w:t>Products: Named SKUs with base recipe, prep time, cook time, complexity score</w:t>
      </w:r>
    </w:p>
    <w:p>
      <w:pPr>
        <w:pStyle w:val="ListBullet"/>
        <w:spacing w:after="40"/>
        <w:ind w:left="360"/>
      </w:pPr>
      <w:r>
        <w:rPr>
          <w:b w:val="0"/>
          <w:sz w:val="20"/>
        </w:rPr>
        <w:t>Variants: Size (S/M/L/Family), Crust (Thin/Classic/Stuffed/GF); only modeled where COGS differs materially</w:t>
      </w:r>
    </w:p>
    <w:p/>
    <w:p>
      <w:pPr>
        <w:spacing w:before="0" w:after="80"/>
        <w:jc w:val="left"/>
        <w:keepNext/>
      </w:pPr>
      <w:r>
        <w:rPr>
          <w:b/>
          <w:i w:val="0"/>
          <w:sz w:val="20"/>
        </w:rPr>
        <w:t>Revenue Streams by Platform</w:t>
      </w:r>
    </w:p>
    <w:tbl>
      <w:tblPr>
        <w:tblStyle w:val="TableGrid"/>
        <w:tblW w:type="auto" w:w="0"/>
        <w:jc w:val="left"/>
        <w:tblLook w:firstColumn="1" w:firstRow="1" w:lastColumn="0" w:lastRow="0" w:noHBand="0" w:noVBand="1" w:val="04A0"/>
      </w:tblPr>
      <w:tblGrid>
        <w:gridCol w:w="3120"/>
        <w:gridCol w:w="3120"/>
        <w:gridCol w:w="3120"/>
      </w:tblGrid>
      <w:tr>
        <w:tc>
          <w:tcPr>
            <w:tcW w:type="dxa" w:w="3600"/>
            <w:shd w:fill="1B3A6B" w:val="clear"/>
          </w:tcPr>
          <w:p>
            <w:pPr>
              <w:jc w:val="center"/>
              <w:keepLines/>
            </w:pPr>
            <w:r>
              <w:rPr>
                <w:b/>
                <w:color w:val="FFFFFF"/>
                <w:sz w:val="18"/>
              </w:rPr>
              <w:t>Platform</w:t>
            </w:r>
          </w:p>
        </w:tc>
        <w:tc>
          <w:tcPr>
            <w:tcW w:type="dxa" w:w="2880"/>
            <w:shd w:fill="1B3A6B" w:val="clear"/>
          </w:tcPr>
          <w:p>
            <w:pPr>
              <w:jc w:val="center"/>
              <w:keepLines/>
            </w:pPr>
            <w:r>
              <w:rPr>
                <w:b/>
                <w:color w:val="FFFFFF"/>
                <w:sz w:val="18"/>
              </w:rPr>
              <w:t>Commission Range</w:t>
            </w:r>
          </w:p>
        </w:tc>
        <w:tc>
          <w:tcPr>
            <w:tcW w:type="dxa" w:w="2880"/>
            <w:shd w:fill="1B3A6B" w:val="clear"/>
          </w:tcPr>
          <w:p>
            <w:pPr>
              <w:jc w:val="center"/>
              <w:keepLines/>
            </w:pPr>
            <w:r>
              <w:rPr>
                <w:b/>
                <w:color w:val="FFFFFF"/>
                <w:sz w:val="18"/>
              </w:rPr>
              <w:t>Payout Lag</w:t>
            </w:r>
          </w:p>
        </w:tc>
      </w:tr>
      <w:tr>
        <w:tc>
          <w:tcPr>
            <w:tcW w:type="dxa" w:w="3600"/>
          </w:tcPr>
          <w:p>
            <w:pPr>
              <w:jc w:val="left"/>
              <w:keepLines/>
            </w:pPr>
            <w:r>
              <w:rPr>
                <w:sz w:val="18"/>
              </w:rPr>
              <w:t>Talabat / HungerStation</w:t>
            </w:r>
          </w:p>
        </w:tc>
        <w:tc>
          <w:tcPr>
            <w:tcW w:type="dxa" w:w="2880"/>
          </w:tcPr>
          <w:p>
            <w:pPr>
              <w:jc w:val="left"/>
              <w:keepLines/>
            </w:pPr>
            <w:r>
              <w:rPr>
                <w:sz w:val="18"/>
              </w:rPr>
              <w:t>18-28%</w:t>
            </w:r>
          </w:p>
        </w:tc>
        <w:tc>
          <w:tcPr>
            <w:tcW w:type="dxa" w:w="2880"/>
          </w:tcPr>
          <w:p>
            <w:pPr>
              <w:jc w:val="left"/>
              <w:keepLines/>
            </w:pPr>
            <w:r>
              <w:rPr>
                <w:sz w:val="18"/>
              </w:rPr>
              <w:t>Weekly</w:t>
            </w:r>
          </w:p>
        </w:tc>
      </w:tr>
      <w:tr>
        <w:tc>
          <w:tcPr>
            <w:tcW w:type="dxa" w:w="3600"/>
            <w:shd w:fill="F0F4FA" w:val="clear"/>
          </w:tcPr>
          <w:p>
            <w:pPr>
              <w:jc w:val="left"/>
              <w:keepLines/>
            </w:pPr>
            <w:r>
              <w:rPr>
                <w:sz w:val="18"/>
              </w:rPr>
              <w:t>Deliveroo</w:t>
            </w:r>
          </w:p>
        </w:tc>
        <w:tc>
          <w:tcPr>
            <w:tcW w:type="dxa" w:w="2880"/>
            <w:shd w:fill="F0F4FA" w:val="clear"/>
          </w:tcPr>
          <w:p>
            <w:pPr>
              <w:jc w:val="left"/>
              <w:keepLines/>
            </w:pPr>
            <w:r>
              <w:rPr>
                <w:sz w:val="18"/>
              </w:rPr>
              <w:t>25-35%</w:t>
            </w:r>
          </w:p>
        </w:tc>
        <w:tc>
          <w:tcPr>
            <w:tcW w:type="dxa" w:w="2880"/>
            <w:shd w:fill="F0F4FA" w:val="clear"/>
          </w:tcPr>
          <w:p>
            <w:pPr>
              <w:jc w:val="left"/>
              <w:keepLines/>
            </w:pPr>
            <w:r>
              <w:rPr>
                <w:sz w:val="18"/>
              </w:rPr>
              <w:t>Weekly</w:t>
            </w:r>
          </w:p>
        </w:tc>
      </w:tr>
      <w:tr>
        <w:tc>
          <w:tcPr>
            <w:tcW w:type="dxa" w:w="3600"/>
          </w:tcPr>
          <w:p>
            <w:pPr>
              <w:jc w:val="left"/>
              <w:keepLines/>
            </w:pPr>
            <w:r>
              <w:rPr>
                <w:sz w:val="18"/>
              </w:rPr>
              <w:t>Uber Eats</w:t>
            </w:r>
          </w:p>
        </w:tc>
        <w:tc>
          <w:tcPr>
            <w:tcW w:type="dxa" w:w="2880"/>
          </w:tcPr>
          <w:p>
            <w:pPr>
              <w:jc w:val="left"/>
              <w:keepLines/>
            </w:pPr>
            <w:r>
              <w:rPr>
                <w:sz w:val="18"/>
              </w:rPr>
              <w:t>20-30%</w:t>
            </w:r>
          </w:p>
        </w:tc>
        <w:tc>
          <w:tcPr>
            <w:tcW w:type="dxa" w:w="2880"/>
          </w:tcPr>
          <w:p>
            <w:pPr>
              <w:jc w:val="left"/>
              <w:keepLines/>
            </w:pPr>
            <w:r>
              <w:rPr>
                <w:sz w:val="18"/>
              </w:rPr>
              <w:t>Weekly</w:t>
            </w:r>
          </w:p>
        </w:tc>
      </w:tr>
      <w:tr>
        <w:tc>
          <w:tcPr>
            <w:tcW w:type="dxa" w:w="3600"/>
            <w:shd w:fill="F0F4FA" w:val="clear"/>
          </w:tcPr>
          <w:p>
            <w:pPr>
              <w:jc w:val="left"/>
              <w:keepLines/>
            </w:pPr>
            <w:r>
              <w:rPr>
                <w:sz w:val="18"/>
              </w:rPr>
              <w:t>Careem Food</w:t>
            </w:r>
          </w:p>
        </w:tc>
        <w:tc>
          <w:tcPr>
            <w:tcW w:type="dxa" w:w="2880"/>
            <w:shd w:fill="F0F4FA" w:val="clear"/>
          </w:tcPr>
          <w:p>
            <w:pPr>
              <w:jc w:val="left"/>
              <w:keepLines/>
            </w:pPr>
            <w:r>
              <w:rPr>
                <w:sz w:val="18"/>
              </w:rPr>
              <w:t>15-25%</w:t>
            </w:r>
          </w:p>
        </w:tc>
        <w:tc>
          <w:tcPr>
            <w:tcW w:type="dxa" w:w="2880"/>
            <w:shd w:fill="F0F4FA" w:val="clear"/>
          </w:tcPr>
          <w:p>
            <w:pPr>
              <w:jc w:val="left"/>
              <w:keepLines/>
            </w:pPr>
            <w:r>
              <w:rPr>
                <w:sz w:val="18"/>
              </w:rPr>
              <w:t>Weekly</w:t>
            </w:r>
          </w:p>
        </w:tc>
      </w:tr>
      <w:tr>
        <w:tc>
          <w:tcPr>
            <w:tcW w:type="dxa" w:w="3600"/>
          </w:tcPr>
          <w:p>
            <w:pPr>
              <w:jc w:val="left"/>
              <w:keepLines/>
            </w:pPr>
            <w:r>
              <w:rPr>
                <w:sz w:val="18"/>
              </w:rPr>
              <w:t>Own App / Web</w:t>
            </w:r>
          </w:p>
        </w:tc>
        <w:tc>
          <w:tcPr>
            <w:tcW w:type="dxa" w:w="2880"/>
          </w:tcPr>
          <w:p>
            <w:pPr>
              <w:jc w:val="left"/>
              <w:keepLines/>
            </w:pPr>
            <w:r>
              <w:rPr>
                <w:sz w:val="18"/>
              </w:rPr>
              <w:t>0-3% (gateway fee)</w:t>
            </w:r>
          </w:p>
        </w:tc>
        <w:tc>
          <w:tcPr>
            <w:tcW w:type="dxa" w:w="2880"/>
          </w:tcPr>
          <w:p>
            <w:pPr>
              <w:jc w:val="left"/>
              <w:keepLines/>
            </w:pPr>
            <w:r>
              <w:rPr>
                <w:sz w:val="18"/>
              </w:rPr>
              <w:t>Daily</w:t>
            </w:r>
          </w:p>
        </w:tc>
      </w:tr>
    </w:tbl>
    <w:p/>
    <w:p>
      <w:pPr>
        <w:spacing w:before="0" w:after="80"/>
        <w:jc w:val="left"/>
      </w:pPr>
      <w:r>
        <w:rPr>
          <w:b w:val="0"/>
          <w:i/>
          <w:sz w:val="19"/>
        </w:rPr>
        <w:t>Key decision: Platform dependency ratio + own-channel migration timeline.</w:t>
      </w:r>
    </w:p>
    <w:p/>
    <w:p>
      <w:pPr>
        <w:pStyle w:val="Heading2"/>
        <w:keepNext/>
      </w:pPr>
      <w:r>
        <w:t>7B. Demand Driver Architecture</w:t>
      </w:r>
    </w:p>
    <w:p>
      <w:pPr>
        <w:spacing w:before="0" w:after="80"/>
        <w:jc w:val="left"/>
      </w:pPr>
      <w:r>
        <w:rPr>
          <w:b/>
          <w:i w:val="0"/>
          <w:color w:val="1B3A6B"/>
          <w:sz w:val="20"/>
        </w:rPr>
        <w:t>Total Demand = Base Market Demand x Brand Reach Factor x Conversion Factor x Repeat/Retention Factor</w:t>
      </w:r>
    </w:p>
    <w:p/>
    <w:tbl>
      <w:tblPr>
        <w:tblStyle w:val="TableGrid"/>
        <w:tblW w:type="auto" w:w="0"/>
        <w:jc w:val="left"/>
        <w:tblLook w:firstColumn="1" w:firstRow="1" w:lastColumn="0" w:lastRow="0" w:noHBand="0" w:noVBand="1" w:val="04A0"/>
      </w:tblPr>
      <w:tblGrid>
        <w:gridCol w:w="4680"/>
        <w:gridCol w:w="4680"/>
      </w:tblGrid>
      <w:tr>
        <w:tc>
          <w:tcPr>
            <w:tcW w:type="dxa" w:w="2880"/>
            <w:shd w:fill="1B3A6B" w:val="clear"/>
          </w:tcPr>
          <w:p>
            <w:pPr>
              <w:jc w:val="center"/>
              <w:keepLines/>
            </w:pPr>
            <w:r>
              <w:rPr>
                <w:b/>
                <w:color w:val="FFFFFF"/>
                <w:sz w:val="18"/>
              </w:rPr>
              <w:t>Driver Category</w:t>
            </w:r>
          </w:p>
        </w:tc>
        <w:tc>
          <w:tcPr>
            <w:tcW w:type="dxa" w:w="6480"/>
            <w:shd w:fill="1B3A6B" w:val="clear"/>
          </w:tcPr>
          <w:p>
            <w:pPr>
              <w:jc w:val="center"/>
              <w:keepLines/>
            </w:pPr>
            <w:r>
              <w:rPr>
                <w:b/>
                <w:color w:val="FFFFFF"/>
                <w:sz w:val="18"/>
              </w:rPr>
              <w:t>Inputs</w:t>
            </w:r>
          </w:p>
        </w:tc>
      </w:tr>
      <w:tr>
        <w:tc>
          <w:tcPr>
            <w:tcW w:type="dxa" w:w="2880"/>
          </w:tcPr>
          <w:p>
            <w:pPr>
              <w:jc w:val="left"/>
              <w:keepLines/>
            </w:pPr>
            <w:r>
              <w:rPr>
                <w:sz w:val="18"/>
              </w:rPr>
              <w:t>Demand Growth</w:t>
            </w:r>
          </w:p>
        </w:tc>
        <w:tc>
          <w:tcPr>
            <w:tcW w:type="dxa" w:w="6480"/>
          </w:tcPr>
          <w:p>
            <w:pPr>
              <w:jc w:val="left"/>
              <w:keepLines/>
            </w:pPr>
            <w:r>
              <w:rPr>
                <w:sz w:val="18"/>
              </w:rPr>
              <w:t>Baseline orders/day at launch; Monthly demand growth rate %; Ramp curve (months to steady state); Market-level maturation curve; Competitive entry/exit shock factor</w:t>
            </w:r>
          </w:p>
        </w:tc>
      </w:tr>
      <w:tr>
        <w:tc>
          <w:tcPr>
            <w:tcW w:type="dxa" w:w="2880"/>
            <w:shd w:fill="F0F4FA" w:val="clear"/>
          </w:tcPr>
          <w:p>
            <w:pPr>
              <w:jc w:val="left"/>
              <w:keepLines/>
            </w:pPr>
            <w:r>
              <w:rPr>
                <w:sz w:val="18"/>
              </w:rPr>
              <w:t>Seasonality</w:t>
            </w:r>
          </w:p>
        </w:tc>
        <w:tc>
          <w:tcPr>
            <w:tcW w:type="dxa" w:w="6480"/>
            <w:shd w:fill="F0F4FA" w:val="clear"/>
          </w:tcPr>
          <w:p>
            <w:pPr>
              <w:jc w:val="left"/>
              <w:keepLines/>
            </w:pPr>
            <w:r>
              <w:rPr>
                <w:sz w:val="18"/>
              </w:rPr>
              <w:t>Monthly 12-index (Jan-Dec); Day-of-week 7-index (Mon-Sun); Hourly demand curve (24hr); Ramadan / holiday multipliers; Weather impact factors (rain +15%)</w:t>
            </w:r>
          </w:p>
        </w:tc>
      </w:tr>
      <w:tr>
        <w:tc>
          <w:tcPr>
            <w:tcW w:type="dxa" w:w="2880"/>
          </w:tcPr>
          <w:p>
            <w:pPr>
              <w:jc w:val="left"/>
              <w:keepLines/>
            </w:pPr>
            <w:r>
              <w:rPr>
                <w:sz w:val="18"/>
              </w:rPr>
              <w:t>Penetration</w:t>
            </w:r>
          </w:p>
        </w:tc>
        <w:tc>
          <w:tcPr>
            <w:tcW w:type="dxa" w:w="6480"/>
          </w:tcPr>
          <w:p>
            <w:pPr>
              <w:jc w:val="left"/>
              <w:keepLines/>
            </w:pPr>
            <w:r>
              <w:rPr>
                <w:sz w:val="18"/>
              </w:rPr>
              <w:t>Addressable customers in micro; Customer acquisition rate/month; Activation rate %; Month-over-month retention %; Word-of-mouth coefficient</w:t>
            </w:r>
          </w:p>
        </w:tc>
      </w:tr>
    </w:tbl>
    <w:p/>
    <w:p>
      <w:pPr>
        <w:pStyle w:val="Heading2"/>
        <w:keepNext/>
      </w:pPr>
      <w:r>
        <w:t>7C. Pricing Architecture</w:t>
      </w:r>
    </w:p>
    <w:tbl>
      <w:tblPr>
        <w:tblStyle w:val="TableGrid"/>
        <w:tblW w:type="auto" w:w="0"/>
        <w:jc w:val="left"/>
        <w:tblLook w:firstColumn="1" w:firstRow="1" w:lastColumn="0" w:lastRow="0" w:noHBand="0" w:noVBand="1" w:val="04A0"/>
      </w:tblPr>
      <w:tblGrid>
        <w:gridCol w:w="3120"/>
        <w:gridCol w:w="3120"/>
        <w:gridCol w:w="3120"/>
      </w:tblGrid>
      <w:tr>
        <w:tc>
          <w:tcPr>
            <w:tcW w:type="dxa" w:w="2592"/>
            <w:shd w:fill="1B3A6B" w:val="clear"/>
          </w:tcPr>
          <w:p>
            <w:pPr>
              <w:jc w:val="center"/>
              <w:keepLines/>
            </w:pPr>
            <w:r>
              <w:rPr>
                <w:b/>
                <w:color w:val="FFFFFF"/>
                <w:sz w:val="18"/>
              </w:rPr>
              <w:t>Price Layer</w:t>
            </w:r>
          </w:p>
        </w:tc>
        <w:tc>
          <w:tcPr>
            <w:tcW w:type="dxa" w:w="4032"/>
            <w:shd w:fill="1B3A6B" w:val="clear"/>
          </w:tcPr>
          <w:p>
            <w:pPr>
              <w:jc w:val="center"/>
              <w:keepLines/>
            </w:pPr>
            <w:r>
              <w:rPr>
                <w:b/>
                <w:color w:val="FFFFFF"/>
                <w:sz w:val="18"/>
              </w:rPr>
              <w:t>Description</w:t>
            </w:r>
          </w:p>
        </w:tc>
        <w:tc>
          <w:tcPr>
            <w:tcW w:type="dxa" w:w="2736"/>
            <w:shd w:fill="1B3A6B" w:val="clear"/>
          </w:tcPr>
          <w:p>
            <w:pPr>
              <w:jc w:val="center"/>
              <w:keepLines/>
            </w:pPr>
            <w:r>
              <w:rPr>
                <w:b/>
                <w:color w:val="FFFFFF"/>
                <w:sz w:val="18"/>
              </w:rPr>
              <w:t>Platform Rule</w:t>
            </w:r>
          </w:p>
        </w:tc>
      </w:tr>
      <w:tr>
        <w:tc>
          <w:tcPr>
            <w:tcW w:type="dxa" w:w="2592"/>
          </w:tcPr>
          <w:p>
            <w:pPr>
              <w:jc w:val="left"/>
              <w:keepLines/>
            </w:pPr>
            <w:r>
              <w:rPr>
                <w:sz w:val="18"/>
              </w:rPr>
              <w:t>Gross List Price</w:t>
            </w:r>
          </w:p>
        </w:tc>
        <w:tc>
          <w:tcPr>
            <w:tcW w:type="dxa" w:w="4032"/>
          </w:tcPr>
          <w:p>
            <w:pPr>
              <w:jc w:val="left"/>
              <w:keepLines/>
            </w:pPr>
            <w:r>
              <w:rPr>
                <w:sz w:val="18"/>
              </w:rPr>
              <w:t>Base menu price visible to customer</w:t>
            </w:r>
          </w:p>
        </w:tc>
        <w:tc>
          <w:tcPr>
            <w:tcW w:type="dxa" w:w="2736"/>
          </w:tcPr>
          <w:p>
            <w:pPr>
              <w:jc w:val="left"/>
              <w:keepLines/>
            </w:pPr>
            <w:r>
              <w:rPr>
                <w:sz w:val="18"/>
              </w:rPr>
              <w:t>May vary per platform</w:t>
            </w:r>
          </w:p>
        </w:tc>
      </w:tr>
      <w:tr>
        <w:tc>
          <w:tcPr>
            <w:tcW w:type="dxa" w:w="2592"/>
            <w:shd w:fill="F0F4FA" w:val="clear"/>
          </w:tcPr>
          <w:p>
            <w:pPr>
              <w:jc w:val="left"/>
              <w:keepLines/>
            </w:pPr>
            <w:r>
              <w:rPr>
                <w:sz w:val="18"/>
              </w:rPr>
              <w:t>Platform Markup</w:t>
            </w:r>
          </w:p>
        </w:tc>
        <w:tc>
          <w:tcPr>
            <w:tcW w:type="dxa" w:w="4032"/>
            <w:shd w:fill="F0F4FA" w:val="clear"/>
          </w:tcPr>
          <w:p>
            <w:pPr>
              <w:jc w:val="left"/>
              <w:keepLines/>
            </w:pPr>
            <w:r>
              <w:rPr>
                <w:sz w:val="18"/>
              </w:rPr>
              <w:t>10-20% uplift to offset commission</w:t>
            </w:r>
          </w:p>
        </w:tc>
        <w:tc>
          <w:tcPr>
            <w:tcW w:type="dxa" w:w="2736"/>
            <w:shd w:fill="F0F4FA" w:val="clear"/>
          </w:tcPr>
          <w:p>
            <w:pPr>
              <w:jc w:val="left"/>
              <w:keepLines/>
            </w:pPr>
            <w:r>
              <w:rPr>
                <w:sz w:val="18"/>
              </w:rPr>
              <w:t>Delivery platforms only</w:t>
            </w:r>
          </w:p>
        </w:tc>
      </w:tr>
      <w:tr>
        <w:tc>
          <w:tcPr>
            <w:tcW w:type="dxa" w:w="2592"/>
          </w:tcPr>
          <w:p>
            <w:pPr>
              <w:jc w:val="left"/>
              <w:keepLines/>
            </w:pPr>
            <w:r>
              <w:rPr>
                <w:sz w:val="18"/>
              </w:rPr>
              <w:t>Discount Rate</w:t>
            </w:r>
          </w:p>
        </w:tc>
        <w:tc>
          <w:tcPr>
            <w:tcW w:type="dxa" w:w="4032"/>
          </w:tcPr>
          <w:p>
            <w:pPr>
              <w:jc w:val="left"/>
              <w:keepLines/>
            </w:pPr>
            <w:r>
              <w:rPr>
                <w:sz w:val="18"/>
              </w:rPr>
              <w:t>Promotional discount % (self-funded vs co-funded)</w:t>
            </w:r>
          </w:p>
        </w:tc>
        <w:tc>
          <w:tcPr>
            <w:tcW w:type="dxa" w:w="2736"/>
          </w:tcPr>
          <w:p>
            <w:pPr>
              <w:jc w:val="left"/>
              <w:keepLines/>
            </w:pPr>
            <w:r>
              <w:rPr>
                <w:sz w:val="18"/>
              </w:rPr>
              <w:t>Campaign dependent</w:t>
            </w:r>
          </w:p>
        </w:tc>
      </w:tr>
      <w:tr>
        <w:tc>
          <w:tcPr>
            <w:tcW w:type="dxa" w:w="2592"/>
            <w:shd w:fill="F0F4FA" w:val="clear"/>
          </w:tcPr>
          <w:p>
            <w:pPr>
              <w:jc w:val="left"/>
              <w:keepLines/>
            </w:pPr>
            <w:r>
              <w:rPr>
                <w:sz w:val="18"/>
              </w:rPr>
              <w:t>Net Realized Price</w:t>
            </w:r>
          </w:p>
        </w:tc>
        <w:tc>
          <w:tcPr>
            <w:tcW w:type="dxa" w:w="4032"/>
            <w:shd w:fill="F0F4FA" w:val="clear"/>
          </w:tcPr>
          <w:p>
            <w:pPr>
              <w:jc w:val="left"/>
              <w:keepLines/>
            </w:pPr>
            <w:r>
              <w:rPr>
                <w:sz w:val="18"/>
              </w:rPr>
              <w:t>Actual revenue after discount, before commission</w:t>
            </w:r>
          </w:p>
        </w:tc>
        <w:tc>
          <w:tcPr>
            <w:tcW w:type="dxa" w:w="2736"/>
            <w:shd w:fill="F0F4FA" w:val="clear"/>
          </w:tcPr>
          <w:p>
            <w:pPr>
              <w:jc w:val="left"/>
              <w:keepLines/>
            </w:pPr>
            <w:r>
              <w:rPr>
                <w:sz w:val="18"/>
              </w:rPr>
              <w:t>All platforms</w:t>
            </w:r>
          </w:p>
        </w:tc>
      </w:tr>
      <w:tr>
        <w:tc>
          <w:tcPr>
            <w:tcW w:type="dxa" w:w="2592"/>
          </w:tcPr>
          <w:p>
            <w:pPr>
              <w:jc w:val="left"/>
              <w:keepLines/>
            </w:pPr>
            <w:r>
              <w:rPr>
                <w:sz w:val="18"/>
              </w:rPr>
              <w:t>Net Revenue/Order</w:t>
            </w:r>
          </w:p>
        </w:tc>
        <w:tc>
          <w:tcPr>
            <w:tcW w:type="dxa" w:w="4032"/>
          </w:tcPr>
          <w:p>
            <w:pPr>
              <w:jc w:val="left"/>
              <w:keepLines/>
            </w:pPr>
            <w:r>
              <w:rPr>
                <w:sz w:val="18"/>
              </w:rPr>
              <w:t>Net Realized Price x (1 - Commission %)</w:t>
            </w:r>
          </w:p>
        </w:tc>
        <w:tc>
          <w:tcPr>
            <w:tcW w:type="dxa" w:w="2736"/>
          </w:tcPr>
          <w:p>
            <w:pPr>
              <w:jc w:val="left"/>
              <w:keepLines/>
            </w:pPr>
            <w:r>
              <w:rPr>
                <w:sz w:val="18"/>
              </w:rPr>
              <w:t>Final revenue input</w:t>
            </w:r>
          </w:p>
        </w:tc>
      </w:tr>
    </w:tbl>
    <w:p/>
    <w:p>
      <w:pPr>
        <w:spacing w:before="0" w:after="80"/>
        <w:jc w:val="left"/>
      </w:pPr>
      <w:r>
        <w:rPr>
          <w:b w:val="0"/>
          <w:i/>
          <w:sz w:val="19"/>
        </w:rPr>
        <w:t>Price Elasticity: Coefficient per product family. Cross-price, delivery fee, competitive gap elasticities modeled for sensitivity analysis.</w:t>
      </w:r>
    </w:p>
    <w:p/>
    <w:p>
      <w:pPr>
        <w:pStyle w:val="Heading2"/>
        <w:keepNext/>
      </w:pPr>
      <w:r>
        <w:t>7D. Marketing Architecture</w:t>
      </w:r>
    </w:p>
    <w:p>
      <w:pPr>
        <w:spacing w:before="0" w:after="80"/>
        <w:jc w:val="left"/>
        <w:keepNext/>
      </w:pPr>
      <w:r>
        <w:rPr>
          <w:b/>
          <w:i w:val="0"/>
          <w:sz w:val="20"/>
        </w:rPr>
        <w:t>Channel Taxonomy</w:t>
      </w:r>
    </w:p>
    <w:p>
      <w:pPr>
        <w:pStyle w:val="ListBullet"/>
        <w:spacing w:after="40"/>
        <w:ind w:left="360"/>
      </w:pPr>
      <w:r>
        <w:rPr>
          <w:b w:val="0"/>
          <w:sz w:val="20"/>
        </w:rPr>
        <w:t>Platform-native ads (sponsored listings)</w:t>
      </w:r>
    </w:p>
    <w:p>
      <w:pPr>
        <w:pStyle w:val="ListBullet"/>
        <w:spacing w:after="40"/>
        <w:ind w:left="360"/>
      </w:pPr>
      <w:r>
        <w:rPr>
          <w:b w:val="0"/>
          <w:sz w:val="20"/>
        </w:rPr>
        <w:t>Platform promotions (Deliveroo Markdowns, Uber Eats Offers)</w:t>
      </w:r>
    </w:p>
    <w:p>
      <w:pPr>
        <w:pStyle w:val="ListBullet"/>
        <w:spacing w:after="40"/>
        <w:ind w:left="360"/>
      </w:pPr>
      <w:r>
        <w:rPr>
          <w:b w:val="0"/>
          <w:sz w:val="20"/>
        </w:rPr>
        <w:t>Social media (Instagram, TikTok, Facebook)</w:t>
      </w:r>
    </w:p>
    <w:p>
      <w:pPr>
        <w:pStyle w:val="ListBullet"/>
        <w:spacing w:after="40"/>
        <w:ind w:left="360"/>
      </w:pPr>
      <w:r>
        <w:rPr>
          <w:b w:val="0"/>
          <w:sz w:val="20"/>
        </w:rPr>
        <w:t>Google Ads (search, display, maps)</w:t>
      </w:r>
    </w:p>
    <w:p>
      <w:pPr>
        <w:pStyle w:val="ListBullet"/>
        <w:spacing w:after="40"/>
        <w:ind w:left="360"/>
      </w:pPr>
      <w:r>
        <w:rPr>
          <w:b w:val="0"/>
          <w:sz w:val="20"/>
        </w:rPr>
        <w:t>Influencer / creator campaigns</w:t>
      </w:r>
    </w:p>
    <w:p>
      <w:pPr>
        <w:pStyle w:val="ListBullet"/>
        <w:spacing w:after="40"/>
        <w:ind w:left="360"/>
      </w:pPr>
      <w:r>
        <w:rPr>
          <w:b w:val="0"/>
          <w:sz w:val="20"/>
        </w:rPr>
        <w:t>SMS / Push (own channel only)</w:t>
      </w:r>
    </w:p>
    <w:p>
      <w:pPr>
        <w:pStyle w:val="ListBullet"/>
        <w:spacing w:after="40"/>
        <w:ind w:left="360"/>
      </w:pPr>
      <w:r>
        <w:rPr>
          <w:b w:val="0"/>
          <w:sz w:val="20"/>
        </w:rPr>
        <w:t>Referral programs</w:t>
      </w:r>
    </w:p>
    <w:p>
      <w:pPr>
        <w:pStyle w:val="ListBullet"/>
        <w:spacing w:after="40"/>
        <w:ind w:left="360"/>
      </w:pPr>
      <w:r>
        <w:rPr>
          <w:b w:val="0"/>
          <w:sz w:val="20"/>
        </w:rPr>
        <w:t>Offline (flyers, area activations)</w:t>
      </w:r>
    </w:p>
    <w:p/>
    <w:p>
      <w:pPr>
        <w:spacing w:before="0" w:after="80"/>
        <w:jc w:val="left"/>
        <w:keepNext/>
      </w:pPr>
      <w:r>
        <w:rPr>
          <w:b/>
          <w:i w:val="0"/>
          <w:sz w:val="20"/>
        </w:rPr>
        <w:t>Marketing Response Curve Model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fill="1B3A6B" w:val="clear"/>
          </w:tcPr>
          <w:p>
            <w:pPr>
              <w:jc w:val="center"/>
              <w:keepLines/>
            </w:pPr>
            <w:r>
              <w:rPr>
                <w:b/>
                <w:color w:val="FFFFFF"/>
                <w:sz w:val="18"/>
              </w:rPr>
              <w:t>Zone</w:t>
            </w:r>
          </w:p>
        </w:tc>
        <w:tc>
          <w:tcPr>
            <w:tcW w:type="dxa" w:w="1872"/>
            <w:shd w:fill="1B3A6B" w:val="clear"/>
          </w:tcPr>
          <w:p>
            <w:pPr>
              <w:jc w:val="center"/>
              <w:keepLines/>
            </w:pPr>
            <w:r>
              <w:rPr>
                <w:b/>
                <w:color w:val="FFFFFF"/>
                <w:sz w:val="18"/>
              </w:rPr>
              <w:t>Spend Level</w:t>
            </w:r>
          </w:p>
        </w:tc>
        <w:tc>
          <w:tcPr>
            <w:tcW w:type="dxa" w:w="2592"/>
            <w:shd w:fill="1B3A6B" w:val="clear"/>
          </w:tcPr>
          <w:p>
            <w:pPr>
              <w:jc w:val="center"/>
              <w:keepLines/>
            </w:pPr>
            <w:r>
              <w:rPr>
                <w:b/>
                <w:color w:val="FFFFFF"/>
                <w:sz w:val="18"/>
              </w:rPr>
              <w:t>Effect</w:t>
            </w:r>
          </w:p>
        </w:tc>
        <w:tc>
          <w:tcPr>
            <w:tcW w:type="dxa" w:w="2304"/>
            <w:shd w:fill="1B3A6B" w:val="clear"/>
          </w:tcPr>
          <w:p>
            <w:pPr>
              <w:jc w:val="center"/>
              <w:keepLines/>
            </w:pPr>
            <w:r>
              <w:rPr>
                <w:b/>
                <w:color w:val="FFFFFF"/>
                <w:sz w:val="18"/>
              </w:rPr>
              <w:t>Action</w:t>
            </w:r>
          </w:p>
        </w:tc>
      </w:tr>
      <w:tr>
        <w:tc>
          <w:tcPr>
            <w:tcW w:type="dxa" w:w="2592"/>
          </w:tcPr>
          <w:p>
            <w:pPr>
              <w:jc w:val="left"/>
              <w:keepLines/>
            </w:pPr>
            <w:r>
              <w:rPr>
                <w:sz w:val="18"/>
              </w:rPr>
              <w:t>Zone 1 — Linear</w:t>
            </w:r>
          </w:p>
        </w:tc>
        <w:tc>
          <w:tcPr>
            <w:tcW w:type="dxa" w:w="1872"/>
          </w:tcPr>
          <w:p>
            <w:pPr>
              <w:jc w:val="left"/>
              <w:keepLines/>
            </w:pPr>
            <w:r>
              <w:rPr>
                <w:sz w:val="18"/>
              </w:rPr>
              <w:t>Low spend</w:t>
            </w:r>
          </w:p>
        </w:tc>
        <w:tc>
          <w:tcPr>
            <w:tcW w:type="dxa" w:w="2592"/>
          </w:tcPr>
          <w:p>
            <w:pPr>
              <w:jc w:val="left"/>
              <w:keepLines/>
            </w:pPr>
            <w:r>
              <w:rPr>
                <w:sz w:val="18"/>
              </w:rPr>
              <w:t>Proportional uplift</w:t>
            </w:r>
          </w:p>
        </w:tc>
        <w:tc>
          <w:tcPr>
            <w:tcW w:type="dxa" w:w="2304"/>
          </w:tcPr>
          <w:p>
            <w:pPr>
              <w:jc w:val="left"/>
              <w:keepLines/>
            </w:pPr>
            <w:r>
              <w:rPr>
                <w:sz w:val="18"/>
              </w:rPr>
              <w:t>Invest here first</w:t>
            </w:r>
          </w:p>
        </w:tc>
      </w:tr>
      <w:tr>
        <w:tc>
          <w:tcPr>
            <w:tcW w:type="dxa" w:w="2592"/>
            <w:shd w:fill="F0F4FA" w:val="clear"/>
          </w:tcPr>
          <w:p>
            <w:pPr>
              <w:jc w:val="left"/>
              <w:keepLines/>
            </w:pPr>
            <w:r>
              <w:rPr>
                <w:sz w:val="18"/>
              </w:rPr>
              <w:t>Zone 2 — Diminishing Returns</w:t>
            </w:r>
          </w:p>
        </w:tc>
        <w:tc>
          <w:tcPr>
            <w:tcW w:type="dxa" w:w="1872"/>
            <w:shd w:fill="F0F4FA" w:val="clear"/>
          </w:tcPr>
          <w:p>
            <w:pPr>
              <w:jc w:val="left"/>
              <w:keepLines/>
            </w:pPr>
            <w:r>
              <w:rPr>
                <w:sz w:val="18"/>
              </w:rPr>
              <w:t>Mid spend</w:t>
            </w:r>
          </w:p>
        </w:tc>
        <w:tc>
          <w:tcPr>
            <w:tcW w:type="dxa" w:w="2592"/>
            <w:shd w:fill="F0F4FA" w:val="clear"/>
          </w:tcPr>
          <w:p>
            <w:pPr>
              <w:jc w:val="left"/>
              <w:keepLines/>
            </w:pPr>
            <w:r>
              <w:rPr>
                <w:sz w:val="18"/>
              </w:rPr>
              <w:t>Declining marginal uplift</w:t>
            </w:r>
          </w:p>
        </w:tc>
        <w:tc>
          <w:tcPr>
            <w:tcW w:type="dxa" w:w="2304"/>
            <w:shd w:fill="F0F4FA" w:val="clear"/>
          </w:tcPr>
          <w:p>
            <w:pPr>
              <w:jc w:val="left"/>
              <w:keepLines/>
            </w:pPr>
            <w:r>
              <w:rPr>
                <w:sz w:val="18"/>
              </w:rPr>
              <w:t>Monitor ROI threshold</w:t>
            </w:r>
          </w:p>
        </w:tc>
      </w:tr>
      <w:tr>
        <w:tc>
          <w:tcPr>
            <w:tcW w:type="dxa" w:w="2592"/>
          </w:tcPr>
          <w:p>
            <w:pPr>
              <w:jc w:val="left"/>
              <w:keepLines/>
            </w:pPr>
            <w:r>
              <w:rPr>
                <w:sz w:val="18"/>
              </w:rPr>
              <w:t>Zone 3 — Saturation</w:t>
            </w:r>
          </w:p>
        </w:tc>
        <w:tc>
          <w:tcPr>
            <w:tcW w:type="dxa" w:w="1872"/>
          </w:tcPr>
          <w:p>
            <w:pPr>
              <w:jc w:val="left"/>
              <w:keepLines/>
            </w:pPr>
            <w:r>
              <w:rPr>
                <w:sz w:val="18"/>
              </w:rPr>
              <w:t>High spend</w:t>
            </w:r>
          </w:p>
        </w:tc>
        <w:tc>
          <w:tcPr>
            <w:tcW w:type="dxa" w:w="2592"/>
          </w:tcPr>
          <w:p>
            <w:pPr>
              <w:jc w:val="left"/>
              <w:keepLines/>
            </w:pPr>
            <w:r>
              <w:rPr>
                <w:sz w:val="18"/>
              </w:rPr>
              <w:t>Near-zero uplift</w:t>
            </w:r>
          </w:p>
        </w:tc>
        <w:tc>
          <w:tcPr>
            <w:tcW w:type="dxa" w:w="2304"/>
          </w:tcPr>
          <w:p>
            <w:pPr>
              <w:jc w:val="left"/>
              <w:keepLines/>
            </w:pPr>
            <w:r>
              <w:rPr>
                <w:sz w:val="18"/>
              </w:rPr>
              <w:t>Halt or redirect</w:t>
            </w:r>
          </w:p>
        </w:tc>
      </w:tr>
    </w:tbl>
    <w:p/>
    <w:p>
      <w:pPr>
        <w:spacing w:before="0" w:after="80"/>
        <w:jc w:val="left"/>
      </w:pPr>
      <w:r>
        <w:rPr>
          <w:b w:val="0"/>
          <w:i/>
          <w:sz w:val="19"/>
        </w:rPr>
        <w:t>Phase Targets: Launch 15-25% of revenue. Growth 10-15%. Maturity 5-10%.</w:t>
      </w:r>
    </w:p>
    <w:p>
      <w:r>
        <w:br w:type="page"/>
      </w:r>
    </w:p>
    <w:p>
      <w:pPr>
        <w:pStyle w:val="Heading2"/>
        <w:keepNext/>
      </w:pPr>
      <w:r>
        <w:t>7E. Capacity Architecture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fill="1B3A6B" w:val="clear"/>
          </w:tcPr>
          <w:p>
            <w:pPr>
              <w:jc w:val="center"/>
              <w:keepLines/>
            </w:pPr>
            <w:r>
              <w:rPr>
                <w:b/>
                <w:color w:val="FFFFFF"/>
                <w:sz w:val="17"/>
              </w:rPr>
              <w:t>Level</w:t>
            </w:r>
          </w:p>
        </w:tc>
        <w:tc>
          <w:tcPr>
            <w:tcW w:type="dxa" w:w="2304"/>
            <w:shd w:fill="1B3A6B" w:val="clear"/>
          </w:tcPr>
          <w:p>
            <w:pPr>
              <w:jc w:val="center"/>
              <w:keepLines/>
            </w:pPr>
            <w:r>
              <w:rPr>
                <w:b/>
                <w:color w:val="FFFFFF"/>
                <w:sz w:val="17"/>
              </w:rPr>
              <w:t>Configuration</w:t>
            </w:r>
          </w:p>
        </w:tc>
        <w:tc>
          <w:tcPr>
            <w:tcW w:type="dxa" w:w="1728"/>
            <w:shd w:fill="1B3A6B" w:val="clear"/>
          </w:tcPr>
          <w:p>
            <w:pPr>
              <w:jc w:val="center"/>
              <w:keepLines/>
            </w:pPr>
            <w:r>
              <w:rPr>
                <w:b/>
                <w:color w:val="FFFFFF"/>
                <w:sz w:val="17"/>
              </w:rPr>
              <w:t>Capacity (orders/hr)</w:t>
            </w:r>
          </w:p>
        </w:tc>
        <w:tc>
          <w:tcPr>
            <w:tcW w:type="dxa" w:w="2592"/>
            <w:shd w:fill="1B3A6B" w:val="clear"/>
          </w:tcPr>
          <w:p>
            <w:pPr>
              <w:jc w:val="center"/>
              <w:keepLines/>
            </w:pPr>
            <w:r>
              <w:rPr>
                <w:b/>
                <w:color w:val="FFFFFF"/>
                <w:sz w:val="17"/>
              </w:rPr>
              <w:t>Trigger to Activate</w:t>
            </w:r>
          </w:p>
        </w:tc>
        <w:tc>
          <w:tcPr>
            <w:tcW w:type="dxa" w:w="1440"/>
            <w:shd w:fill="1B3A6B" w:val="clear"/>
          </w:tcPr>
          <w:p>
            <w:pPr>
              <w:jc w:val="center"/>
              <w:keepLines/>
            </w:pPr>
            <w:r>
              <w:rPr>
                <w:b/>
                <w:color w:val="FFFFFF"/>
                <w:sz w:val="17"/>
              </w:rPr>
              <w:t>Capex (AED)</w:t>
            </w:r>
          </w:p>
        </w:tc>
      </w:tr>
      <w:tr>
        <w:tc>
          <w:tcPr>
            <w:tcW w:type="dxa" w:w="1440"/>
          </w:tcPr>
          <w:p>
            <w:pPr>
              <w:jc w:val="left"/>
              <w:keepLines/>
            </w:pPr>
            <w:r>
              <w:rPr>
                <w:sz w:val="17"/>
              </w:rPr>
              <w:t>L0 — Base</w:t>
            </w:r>
          </w:p>
        </w:tc>
        <w:tc>
          <w:tcPr>
            <w:tcW w:type="dxa" w:w="2304"/>
          </w:tcPr>
          <w:p>
            <w:pPr>
              <w:jc w:val="left"/>
              <w:keepLines/>
            </w:pPr>
            <w:r>
              <w:rPr>
                <w:sz w:val="17"/>
              </w:rPr>
              <w:t>1 Deck Oven + 2 Prep Stations</w:t>
            </w:r>
          </w:p>
        </w:tc>
        <w:tc>
          <w:tcPr>
            <w:tcW w:type="dxa" w:w="1728"/>
          </w:tcPr>
          <w:p>
            <w:pPr>
              <w:jc w:val="left"/>
              <w:keepLines/>
            </w:pPr>
            <w:r>
              <w:rPr>
                <w:sz w:val="17"/>
              </w:rPr>
              <w:t>12-15</w:t>
            </w:r>
          </w:p>
        </w:tc>
        <w:tc>
          <w:tcPr>
            <w:tcW w:type="dxa" w:w="2592"/>
          </w:tcPr>
          <w:p>
            <w:pPr>
              <w:jc w:val="left"/>
              <w:keepLines/>
            </w:pPr>
            <w:r>
              <w:rPr>
                <w:sz w:val="17"/>
              </w:rPr>
              <w:t>Launch</w:t>
            </w:r>
          </w:p>
        </w:tc>
        <w:tc>
          <w:tcPr>
            <w:tcW w:type="dxa" w:w="1440"/>
          </w:tcPr>
          <w:p>
            <w:pPr>
              <w:jc w:val="left"/>
              <w:keepLines/>
            </w:pPr>
            <w:r>
              <w:rPr>
                <w:sz w:val="17"/>
              </w:rPr>
              <w:t>80-120K</w:t>
            </w:r>
          </w:p>
        </w:tc>
      </w:tr>
      <w:tr>
        <w:tc>
          <w:tcPr>
            <w:tcW w:type="dxa" w:w="1440"/>
            <w:shd w:fill="F0F4FA" w:val="clear"/>
          </w:tcPr>
          <w:p>
            <w:pPr>
              <w:jc w:val="left"/>
              <w:keepLines/>
            </w:pPr>
            <w:r>
              <w:rPr>
                <w:sz w:val="17"/>
              </w:rPr>
              <w:t>L1 — +Oven</w:t>
            </w:r>
          </w:p>
        </w:tc>
        <w:tc>
          <w:tcPr>
            <w:tcW w:type="dxa" w:w="2304"/>
            <w:shd w:fill="F0F4FA" w:val="clear"/>
          </w:tcPr>
          <w:p>
            <w:pPr>
              <w:jc w:val="left"/>
              <w:keepLines/>
            </w:pPr>
            <w:r>
              <w:rPr>
                <w:sz w:val="17"/>
              </w:rPr>
              <w:t>+1 Conveyor Oven</w:t>
            </w:r>
          </w:p>
        </w:tc>
        <w:tc>
          <w:tcPr>
            <w:tcW w:type="dxa" w:w="1728"/>
            <w:shd w:fill="F0F4FA" w:val="clear"/>
          </w:tcPr>
          <w:p>
            <w:pPr>
              <w:jc w:val="left"/>
              <w:keepLines/>
            </w:pPr>
            <w:r>
              <w:rPr>
                <w:sz w:val="17"/>
              </w:rPr>
              <w:t>20-25</w:t>
            </w:r>
          </w:p>
        </w:tc>
        <w:tc>
          <w:tcPr>
            <w:tcW w:type="dxa" w:w="2592"/>
            <w:shd w:fill="F0F4FA" w:val="clear"/>
          </w:tcPr>
          <w:p>
            <w:pPr>
              <w:jc w:val="left"/>
              <w:keepLines/>
            </w:pPr>
            <w:r>
              <w:rPr>
                <w:sz w:val="17"/>
              </w:rPr>
              <w:t>&gt;=80% util for 2 weeks</w:t>
            </w:r>
          </w:p>
        </w:tc>
        <w:tc>
          <w:tcPr>
            <w:tcW w:type="dxa" w:w="1440"/>
            <w:shd w:fill="F0F4FA" w:val="clear"/>
          </w:tcPr>
          <w:p>
            <w:pPr>
              <w:jc w:val="left"/>
              <w:keepLines/>
            </w:pPr>
            <w:r>
              <w:rPr>
                <w:sz w:val="17"/>
              </w:rPr>
              <w:t>30-50K</w:t>
            </w:r>
          </w:p>
        </w:tc>
      </w:tr>
      <w:tr>
        <w:tc>
          <w:tcPr>
            <w:tcW w:type="dxa" w:w="1440"/>
          </w:tcPr>
          <w:p>
            <w:pPr>
              <w:jc w:val="left"/>
              <w:keepLines/>
            </w:pPr>
            <w:r>
              <w:rPr>
                <w:sz w:val="17"/>
              </w:rPr>
              <w:t>L2 — +Prep</w:t>
            </w:r>
          </w:p>
        </w:tc>
        <w:tc>
          <w:tcPr>
            <w:tcW w:type="dxa" w:w="2304"/>
          </w:tcPr>
          <w:p>
            <w:pPr>
              <w:jc w:val="left"/>
              <w:keepLines/>
            </w:pPr>
            <w:r>
              <w:rPr>
                <w:sz w:val="17"/>
              </w:rPr>
              <w:t>+1 Prep Station + 1 Oven</w:t>
            </w:r>
          </w:p>
        </w:tc>
        <w:tc>
          <w:tcPr>
            <w:tcW w:type="dxa" w:w="1728"/>
          </w:tcPr>
          <w:p>
            <w:pPr>
              <w:jc w:val="left"/>
              <w:keepLines/>
            </w:pPr>
            <w:r>
              <w:rPr>
                <w:sz w:val="17"/>
              </w:rPr>
              <w:t>30-35</w:t>
            </w:r>
          </w:p>
        </w:tc>
        <w:tc>
          <w:tcPr>
            <w:tcW w:type="dxa" w:w="2592"/>
          </w:tcPr>
          <w:p>
            <w:pPr>
              <w:jc w:val="left"/>
              <w:keepLines/>
            </w:pPr>
            <w:r>
              <w:rPr>
                <w:sz w:val="17"/>
              </w:rPr>
              <w:t>&gt;=85% util for 2 weeks</w:t>
            </w:r>
          </w:p>
        </w:tc>
        <w:tc>
          <w:tcPr>
            <w:tcW w:type="dxa" w:w="1440"/>
          </w:tcPr>
          <w:p>
            <w:pPr>
              <w:jc w:val="left"/>
              <w:keepLines/>
            </w:pPr>
            <w:r>
              <w:rPr>
                <w:sz w:val="17"/>
              </w:rPr>
              <w:t>45-65K</w:t>
            </w:r>
          </w:p>
        </w:tc>
      </w:tr>
      <w:tr>
        <w:tc>
          <w:tcPr>
            <w:tcW w:type="dxa" w:w="1440"/>
            <w:shd w:fill="F0F4FA" w:val="clear"/>
          </w:tcPr>
          <w:p>
            <w:pPr>
              <w:jc w:val="left"/>
              <w:keepLines/>
            </w:pPr>
            <w:r>
              <w:rPr>
                <w:sz w:val="17"/>
              </w:rPr>
              <w:t>L3 — Hours</w:t>
            </w:r>
          </w:p>
        </w:tc>
        <w:tc>
          <w:tcPr>
            <w:tcW w:type="dxa" w:w="2304"/>
            <w:shd w:fill="F0F4FA" w:val="clear"/>
          </w:tcPr>
          <w:p>
            <w:pPr>
              <w:jc w:val="left"/>
              <w:keepLines/>
            </w:pPr>
            <w:r>
              <w:rPr>
                <w:sz w:val="17"/>
              </w:rPr>
              <w:t>Extend to 18hr/day ops</w:t>
            </w:r>
          </w:p>
        </w:tc>
        <w:tc>
          <w:tcPr>
            <w:tcW w:type="dxa" w:w="1728"/>
            <w:shd w:fill="F0F4FA" w:val="clear"/>
          </w:tcPr>
          <w:p>
            <w:pPr>
              <w:jc w:val="left"/>
              <w:keepLines/>
            </w:pPr>
            <w:r>
              <w:rPr>
                <w:sz w:val="17"/>
              </w:rPr>
              <w:t>35-40 (more hours)</w:t>
            </w:r>
          </w:p>
        </w:tc>
        <w:tc>
          <w:tcPr>
            <w:tcW w:type="dxa" w:w="2592"/>
            <w:shd w:fill="F0F4FA" w:val="clear"/>
          </w:tcPr>
          <w:p>
            <w:pPr>
              <w:jc w:val="left"/>
              <w:keepLines/>
            </w:pPr>
            <w:r>
              <w:rPr>
                <w:sz w:val="17"/>
              </w:rPr>
              <w:t>Peak demand consistently above L2 cap</w:t>
            </w:r>
          </w:p>
        </w:tc>
        <w:tc>
          <w:tcPr>
            <w:tcW w:type="dxa" w:w="1440"/>
            <w:shd w:fill="F0F4FA" w:val="clear"/>
          </w:tcPr>
          <w:p>
            <w:pPr>
              <w:jc w:val="left"/>
              <w:keepLines/>
            </w:pPr>
            <w:r>
              <w:rPr>
                <w:sz w:val="17"/>
              </w:rPr>
              <w:t>Labor only</w:t>
            </w:r>
          </w:p>
        </w:tc>
      </w:tr>
      <w:tr>
        <w:tc>
          <w:tcPr>
            <w:tcW w:type="dxa" w:w="1440"/>
          </w:tcPr>
          <w:p>
            <w:pPr>
              <w:jc w:val="left"/>
              <w:keepLines/>
            </w:pPr>
            <w:r>
              <w:rPr>
                <w:sz w:val="17"/>
              </w:rPr>
              <w:t>L4 — Kitchen 2</w:t>
            </w:r>
          </w:p>
        </w:tc>
        <w:tc>
          <w:tcPr>
            <w:tcW w:type="dxa" w:w="2304"/>
          </w:tcPr>
          <w:p>
            <w:pPr>
              <w:jc w:val="left"/>
              <w:keepLines/>
            </w:pPr>
            <w:r>
              <w:rPr>
                <w:sz w:val="17"/>
              </w:rPr>
              <w:t>New kitchen in same micro</w:t>
            </w:r>
          </w:p>
        </w:tc>
        <w:tc>
          <w:tcPr>
            <w:tcW w:type="dxa" w:w="1728"/>
          </w:tcPr>
          <w:p>
            <w:pPr>
              <w:jc w:val="left"/>
              <w:keepLines/>
            </w:pPr>
            <w:r>
              <w:rPr>
                <w:sz w:val="17"/>
              </w:rPr>
              <w:t>2x capacity</w:t>
            </w:r>
          </w:p>
        </w:tc>
        <w:tc>
          <w:tcPr>
            <w:tcW w:type="dxa" w:w="2592"/>
          </w:tcPr>
          <w:p>
            <w:pPr>
              <w:jc w:val="left"/>
              <w:keepLines/>
            </w:pPr>
            <w:r>
              <w:rPr>
                <w:sz w:val="17"/>
              </w:rPr>
              <w:t>L3 sustained + micro EBITDA+</w:t>
            </w:r>
          </w:p>
        </w:tc>
        <w:tc>
          <w:tcPr>
            <w:tcW w:type="dxa" w:w="1440"/>
          </w:tcPr>
          <w:p>
            <w:pPr>
              <w:jc w:val="left"/>
              <w:keepLines/>
            </w:pPr>
            <w:r>
              <w:rPr>
                <w:sz w:val="17"/>
              </w:rPr>
              <w:t>Full setup cost</w:t>
            </w:r>
          </w:p>
        </w:tc>
      </w:tr>
    </w:tbl>
    <w:p/>
    <w:p>
      <w:pPr>
        <w:spacing w:before="0" w:after="80"/>
        <w:jc w:val="left"/>
      </w:pPr>
      <w:r>
        <w:rPr>
          <w:b w:val="0"/>
          <w:i/>
          <w:sz w:val="19"/>
        </w:rPr>
        <w:t>Quality-Adjusted Capacity: Practical max is 70-80% of theoretical to maintain order accuracy and consistency. Capacity expansion triggers fire at 80-85% of practical max.</w:t>
      </w:r>
    </w:p>
    <w:p/>
    <w:p>
      <w:pPr>
        <w:pStyle w:val="Heading2"/>
        <w:keepNext/>
      </w:pPr>
      <w:r>
        <w:t>7F. Manpower Architecture</w:t>
      </w:r>
    </w:p>
    <w:tbl>
      <w:tblPr>
        <w:tblStyle w:val="TableGrid"/>
        <w:tblW w:type="auto" w:w="0"/>
        <w:jc w:val="left"/>
        <w:tblLook w:firstColumn="1" w:firstRow="1" w:lastColumn="0" w:lastRow="0" w:noHBand="0" w:noVBand="1" w:val="04A0"/>
      </w:tblPr>
      <w:tblGrid>
        <w:gridCol w:w="4680"/>
        <w:gridCol w:w="4680"/>
      </w:tblGrid>
      <w:tr>
        <w:tc>
          <w:tcPr>
            <w:tcW w:type="dxa" w:w="2160"/>
            <w:shd w:fill="1B3A6B" w:val="clear"/>
          </w:tcPr>
          <w:p>
            <w:pPr>
              <w:jc w:val="center"/>
              <w:keepLines/>
            </w:pPr>
            <w:r>
              <w:rPr>
                <w:b/>
                <w:color w:val="FFFFFF"/>
                <w:sz w:val="18"/>
              </w:rPr>
              <w:t>Order Volume/Day</w:t>
            </w:r>
          </w:p>
        </w:tc>
        <w:tc>
          <w:tcPr>
            <w:tcW w:type="dxa" w:w="7200"/>
            <w:shd w:fill="1B3A6B" w:val="clear"/>
          </w:tcPr>
          <w:p>
            <w:pPr>
              <w:jc w:val="center"/>
              <w:keepLines/>
            </w:pPr>
            <w:r>
              <w:rPr>
                <w:b/>
                <w:color w:val="FFFFFF"/>
                <w:sz w:val="18"/>
              </w:rPr>
              <w:t>Kitchen Roles Required</w:t>
            </w:r>
          </w:p>
        </w:tc>
      </w:tr>
      <w:tr>
        <w:tc>
          <w:tcPr>
            <w:tcW w:type="dxa" w:w="2160"/>
          </w:tcPr>
          <w:p>
            <w:pPr>
              <w:jc w:val="left"/>
              <w:keepLines/>
            </w:pPr>
            <w:r>
              <w:rPr>
                <w:sz w:val="18"/>
              </w:rPr>
              <w:t>0-60</w:t>
            </w:r>
          </w:p>
        </w:tc>
        <w:tc>
          <w:tcPr>
            <w:tcW w:type="dxa" w:w="7200"/>
          </w:tcPr>
          <w:p>
            <w:pPr>
              <w:jc w:val="left"/>
              <w:keepLines/>
            </w:pPr>
            <w:r>
              <w:rPr>
                <w:sz w:val="18"/>
              </w:rPr>
              <w:t>1 Pizza Chef, 1 Prep Cook, 1 Packer</w:t>
            </w:r>
          </w:p>
        </w:tc>
      </w:tr>
      <w:tr>
        <w:tc>
          <w:tcPr>
            <w:tcW w:type="dxa" w:w="2160"/>
            <w:shd w:fill="F0F4FA" w:val="clear"/>
          </w:tcPr>
          <w:p>
            <w:pPr>
              <w:jc w:val="left"/>
              <w:keepLines/>
            </w:pPr>
            <w:r>
              <w:rPr>
                <w:sz w:val="18"/>
              </w:rPr>
              <w:t>60-100</w:t>
            </w:r>
          </w:p>
        </w:tc>
        <w:tc>
          <w:tcPr>
            <w:tcW w:type="dxa" w:w="7200"/>
            <w:shd w:fill="F0F4FA" w:val="clear"/>
          </w:tcPr>
          <w:p>
            <w:pPr>
              <w:jc w:val="left"/>
              <w:keepLines/>
            </w:pPr>
            <w:r>
              <w:rPr>
                <w:sz w:val="18"/>
              </w:rPr>
              <w:t>+1 Pizza Chef</w:t>
            </w:r>
          </w:p>
        </w:tc>
      </w:tr>
      <w:tr>
        <w:tc>
          <w:tcPr>
            <w:tcW w:type="dxa" w:w="2160"/>
          </w:tcPr>
          <w:p>
            <w:pPr>
              <w:jc w:val="left"/>
              <w:keepLines/>
            </w:pPr>
            <w:r>
              <w:rPr>
                <w:sz w:val="18"/>
              </w:rPr>
              <w:t>100-160</w:t>
            </w:r>
          </w:p>
        </w:tc>
        <w:tc>
          <w:tcPr>
            <w:tcW w:type="dxa" w:w="7200"/>
          </w:tcPr>
          <w:p>
            <w:pPr>
              <w:jc w:val="left"/>
              <w:keepLines/>
            </w:pPr>
            <w:r>
              <w:rPr>
                <w:sz w:val="18"/>
              </w:rPr>
              <w:t>+1 Prep Cook, +1 Packer</w:t>
            </w:r>
          </w:p>
        </w:tc>
      </w:tr>
      <w:tr>
        <w:tc>
          <w:tcPr>
            <w:tcW w:type="dxa" w:w="2160"/>
            <w:shd w:fill="F0F4FA" w:val="clear"/>
          </w:tcPr>
          <w:p>
            <w:pPr>
              <w:jc w:val="left"/>
              <w:keepLines/>
            </w:pPr>
            <w:r>
              <w:rPr>
                <w:sz w:val="18"/>
              </w:rPr>
              <w:t>160-220</w:t>
            </w:r>
          </w:p>
        </w:tc>
        <w:tc>
          <w:tcPr>
            <w:tcW w:type="dxa" w:w="7200"/>
            <w:shd w:fill="F0F4FA" w:val="clear"/>
          </w:tcPr>
          <w:p>
            <w:pPr>
              <w:jc w:val="left"/>
              <w:keepLines/>
            </w:pPr>
            <w:r>
              <w:rPr>
                <w:sz w:val="18"/>
              </w:rPr>
              <w:t>+Shift Lead, +1 Chef</w:t>
            </w:r>
          </w:p>
        </w:tc>
      </w:tr>
      <w:tr>
        <w:tc>
          <w:tcPr>
            <w:tcW w:type="dxa" w:w="2160"/>
          </w:tcPr>
          <w:p>
            <w:pPr>
              <w:jc w:val="left"/>
              <w:keepLines/>
            </w:pPr>
            <w:r>
              <w:rPr>
                <w:sz w:val="18"/>
              </w:rPr>
              <w:t>220-300</w:t>
            </w:r>
          </w:p>
        </w:tc>
        <w:tc>
          <w:tcPr>
            <w:tcW w:type="dxa" w:w="7200"/>
          </w:tcPr>
          <w:p>
            <w:pPr>
              <w:jc w:val="left"/>
              <w:keepLines/>
            </w:pPr>
            <w:r>
              <w:rPr>
                <w:sz w:val="18"/>
              </w:rPr>
              <w:t>+Kitchen Manager, +2 Roles</w:t>
            </w:r>
          </w:p>
        </w:tc>
      </w:tr>
      <w:tr>
        <w:tc>
          <w:tcPr>
            <w:tcW w:type="dxa" w:w="2160"/>
            <w:shd w:fill="F0F4FA" w:val="clear"/>
          </w:tcPr>
          <w:p>
            <w:pPr>
              <w:jc w:val="left"/>
              <w:keepLines/>
            </w:pPr>
            <w:r>
              <w:rPr>
                <w:sz w:val="18"/>
              </w:rPr>
              <w:t>300+</w:t>
            </w:r>
          </w:p>
        </w:tc>
        <w:tc>
          <w:tcPr>
            <w:tcW w:type="dxa" w:w="7200"/>
            <w:shd w:fill="F0F4FA" w:val="clear"/>
          </w:tcPr>
          <w:p>
            <w:pPr>
              <w:jc w:val="left"/>
              <w:keepLines/>
            </w:pPr>
            <w:r>
              <w:rPr>
                <w:sz w:val="18"/>
              </w:rPr>
              <w:t>Review capacity expansion (L2/L4)</w:t>
            </w:r>
          </w:p>
        </w:tc>
      </w:tr>
    </w:tbl>
    <w:p/>
    <w:p>
      <w:pPr>
        <w:spacing w:before="0" w:after="80"/>
        <w:jc w:val="left"/>
        <w:keepNext/>
      </w:pPr>
      <w:r>
        <w:rPr>
          <w:b/>
          <w:i w:val="0"/>
          <w:sz w:val="20"/>
        </w:rPr>
        <w:t>Central Team Scaling Triggers</w:t>
      </w:r>
    </w:p>
    <w:tbl>
      <w:tblPr>
        <w:tblStyle w:val="TableGrid"/>
        <w:tblW w:type="auto" w:w="0"/>
        <w:jc w:val="left"/>
        <w:tblLook w:firstColumn="1" w:firstRow="1" w:lastColumn="0" w:lastRow="0" w:noHBand="0" w:noVBand="1" w:val="04A0"/>
      </w:tblPr>
      <w:tblGrid>
        <w:gridCol w:w="4680"/>
        <w:gridCol w:w="4680"/>
      </w:tblGrid>
      <w:tr>
        <w:tc>
          <w:tcPr>
            <w:tcW w:type="dxa" w:w="4320"/>
            <w:shd w:fill="1B3A6B" w:val="clear"/>
          </w:tcPr>
          <w:p>
            <w:pPr>
              <w:jc w:val="center"/>
              <w:keepLines/>
            </w:pPr>
            <w:r>
              <w:rPr>
                <w:b/>
                <w:color w:val="FFFFFF"/>
                <w:sz w:val="18"/>
              </w:rPr>
              <w:t>Trigger</w:t>
            </w:r>
          </w:p>
        </w:tc>
        <w:tc>
          <w:tcPr>
            <w:tcW w:type="dxa" w:w="5040"/>
            <w:shd w:fill="1B3A6B" w:val="clear"/>
          </w:tcPr>
          <w:p>
            <w:pPr>
              <w:jc w:val="center"/>
              <w:keepLines/>
            </w:pPr>
            <w:r>
              <w:rPr>
                <w:b/>
                <w:color w:val="FFFFFF"/>
                <w:sz w:val="18"/>
              </w:rPr>
              <w:t>New Role</w:t>
            </w:r>
          </w:p>
        </w:tc>
      </w:tr>
      <w:tr>
        <w:tc>
          <w:tcPr>
            <w:tcW w:type="dxa" w:w="4320"/>
          </w:tcPr>
          <w:p>
            <w:pPr>
              <w:jc w:val="left"/>
              <w:keepLines/>
            </w:pPr>
            <w:r>
              <w:rPr>
                <w:sz w:val="18"/>
              </w:rPr>
              <w:t>3+ kitchens live</w:t>
            </w:r>
          </w:p>
        </w:tc>
        <w:tc>
          <w:tcPr>
            <w:tcW w:type="dxa" w:w="5040"/>
          </w:tcPr>
          <w:p>
            <w:pPr>
              <w:jc w:val="left"/>
              <w:keepLines/>
            </w:pPr>
            <w:r>
              <w:rPr>
                <w:sz w:val="18"/>
              </w:rPr>
              <w:t>Area Operations Manager</w:t>
            </w:r>
          </w:p>
        </w:tc>
      </w:tr>
      <w:tr>
        <w:tc>
          <w:tcPr>
            <w:tcW w:type="dxa" w:w="4320"/>
            <w:shd w:fill="F0F4FA" w:val="clear"/>
          </w:tcPr>
          <w:p>
            <w:pPr>
              <w:jc w:val="left"/>
              <w:keepLines/>
            </w:pPr>
            <w:r>
              <w:rPr>
                <w:sz w:val="18"/>
              </w:rPr>
              <w:t>2nd macro entered</w:t>
            </w:r>
          </w:p>
        </w:tc>
        <w:tc>
          <w:tcPr>
            <w:tcW w:type="dxa" w:w="5040"/>
            <w:shd w:fill="F0F4FA" w:val="clear"/>
          </w:tcPr>
          <w:p>
            <w:pPr>
              <w:jc w:val="left"/>
              <w:keepLines/>
            </w:pPr>
            <w:r>
              <w:rPr>
                <w:sz w:val="18"/>
              </w:rPr>
              <w:t>Regional Manager</w:t>
            </w:r>
          </w:p>
        </w:tc>
      </w:tr>
      <w:tr>
        <w:tc>
          <w:tcPr>
            <w:tcW w:type="dxa" w:w="4320"/>
          </w:tcPr>
          <w:p>
            <w:pPr>
              <w:jc w:val="left"/>
              <w:keepLines/>
            </w:pPr>
            <w:r>
              <w:rPr>
                <w:sz w:val="18"/>
              </w:rPr>
              <w:t>5+ kitchens live</w:t>
            </w:r>
          </w:p>
        </w:tc>
        <w:tc>
          <w:tcPr>
            <w:tcW w:type="dxa" w:w="5040"/>
          </w:tcPr>
          <w:p>
            <w:pPr>
              <w:jc w:val="left"/>
              <w:keepLines/>
            </w:pPr>
            <w:r>
              <w:rPr>
                <w:sz w:val="18"/>
              </w:rPr>
              <w:t>Dedicated Finance/Analyst</w:t>
            </w:r>
          </w:p>
        </w:tc>
      </w:tr>
      <w:tr>
        <w:tc>
          <w:tcPr>
            <w:tcW w:type="dxa" w:w="4320"/>
            <w:shd w:fill="F0F4FA" w:val="clear"/>
          </w:tcPr>
          <w:p>
            <w:pPr>
              <w:jc w:val="left"/>
              <w:keepLines/>
            </w:pPr>
            <w:r>
              <w:rPr>
                <w:sz w:val="18"/>
              </w:rPr>
              <w:t>Series A stage</w:t>
            </w:r>
          </w:p>
        </w:tc>
        <w:tc>
          <w:tcPr>
            <w:tcW w:type="dxa" w:w="5040"/>
            <w:shd w:fill="F0F4FA" w:val="clear"/>
          </w:tcPr>
          <w:p>
            <w:pPr>
              <w:jc w:val="left"/>
              <w:keepLines/>
            </w:pPr>
            <w:r>
              <w:rPr>
                <w:sz w:val="18"/>
              </w:rPr>
              <w:t>CFO, CMO, Head of Operations</w:t>
            </w:r>
          </w:p>
        </w:tc>
      </w:tr>
    </w:tbl>
    <w:p/>
    <w:p>
      <w:pPr>
        <w:spacing w:before="0" w:after="80"/>
        <w:jc w:val="left"/>
      </w:pPr>
      <w:r>
        <w:rPr>
          <w:b w:val="0"/>
          <w:i/>
          <w:sz w:val="19"/>
        </w:rPr>
        <w:t>Key parameters: Turnover rate %, Replacement cost, Training lag (4-6 weeks), Multi-skill flexibility matrix, Annual increment %.</w:t>
      </w:r>
    </w:p>
    <w:p/>
    <w:p>
      <w:pPr>
        <w:pStyle w:val="Heading2"/>
        <w:keepNext/>
      </w:pPr>
      <w:r>
        <w:t>7G. Funding &amp; Capital Driver Detail</w:t>
      </w:r>
    </w:p>
    <w:p>
      <w:pPr>
        <w:spacing w:before="0" w:after="80"/>
        <w:jc w:val="left"/>
        <w:keepNext/>
      </w:pPr>
      <w:r>
        <w:rPr>
          <w:b/>
          <w:i w:val="0"/>
          <w:sz w:val="20"/>
        </w:rPr>
        <w:t>Equity Funding Round Inputs</w:t>
      </w:r>
    </w:p>
    <w:p>
      <w:pPr>
        <w:pStyle w:val="ListBullet"/>
        <w:spacing w:after="40"/>
        <w:ind w:left="360"/>
      </w:pPr>
      <w:r>
        <w:rPr>
          <w:b w:val="0"/>
          <w:sz w:val="20"/>
        </w:rPr>
        <w:t>Round type (Pre-seed / Seed / Series A)</w:t>
      </w:r>
    </w:p>
    <w:p>
      <w:pPr>
        <w:pStyle w:val="ListBullet"/>
        <w:spacing w:after="40"/>
        <w:ind w:left="360"/>
      </w:pPr>
      <w:r>
        <w:rPr>
          <w:b w:val="0"/>
          <w:sz w:val="20"/>
        </w:rPr>
        <w:t>Raise amount &amp; pre-money valuation</w:t>
      </w:r>
    </w:p>
    <w:p>
      <w:pPr>
        <w:pStyle w:val="ListBullet"/>
        <w:spacing w:after="40"/>
        <w:ind w:left="360"/>
      </w:pPr>
      <w:r>
        <w:rPr>
          <w:b w:val="0"/>
          <w:sz w:val="20"/>
        </w:rPr>
        <w:t>Dilution % per round</w:t>
      </w:r>
    </w:p>
    <w:p>
      <w:pPr>
        <w:pStyle w:val="ListBullet"/>
        <w:spacing w:after="40"/>
        <w:ind w:left="360"/>
      </w:pPr>
      <w:r>
        <w:rPr>
          <w:b w:val="0"/>
          <w:sz w:val="20"/>
        </w:rPr>
        <w:t>Use of proceeds allocation by category</w:t>
      </w:r>
    </w:p>
    <w:p>
      <w:pPr>
        <w:pStyle w:val="ListBullet"/>
        <w:spacing w:after="40"/>
        <w:ind w:left="360"/>
      </w:pPr>
      <w:r>
        <w:rPr>
          <w:b w:val="0"/>
          <w:sz w:val="20"/>
        </w:rPr>
        <w:t>Post-money runway extension in months</w:t>
      </w:r>
    </w:p>
    <w:p/>
    <w:p>
      <w:pPr>
        <w:spacing w:before="0" w:after="80"/>
        <w:jc w:val="left"/>
        <w:keepNext/>
      </w:pPr>
      <w:r>
        <w:rPr>
          <w:b/>
          <w:i w:val="0"/>
          <w:sz w:val="20"/>
        </w:rPr>
        <w:t>Debt Facility Inputs</w:t>
      </w:r>
    </w:p>
    <w:p>
      <w:pPr>
        <w:pStyle w:val="ListBullet"/>
        <w:spacing w:after="40"/>
        <w:ind w:left="360"/>
      </w:pPr>
      <w:r>
        <w:rPr>
          <w:b w:val="0"/>
          <w:sz w:val="20"/>
        </w:rPr>
        <w:t>Principal amount &amp; drawdown schedule</w:t>
      </w:r>
    </w:p>
    <w:p>
      <w:pPr>
        <w:pStyle w:val="ListBullet"/>
        <w:spacing w:after="40"/>
        <w:ind w:left="360"/>
      </w:pPr>
      <w:r>
        <w:rPr>
          <w:b w:val="0"/>
          <w:sz w:val="20"/>
        </w:rPr>
        <w:t>Interest rate (fixed / floating)</w:t>
      </w:r>
    </w:p>
    <w:p>
      <w:pPr>
        <w:pStyle w:val="ListBullet"/>
        <w:spacing w:after="40"/>
        <w:ind w:left="360"/>
      </w:pPr>
      <w:r>
        <w:rPr>
          <w:b w:val="0"/>
          <w:sz w:val="20"/>
        </w:rPr>
        <w:t>Repayment schedule (monthly / bullet / grace period)</w:t>
      </w:r>
    </w:p>
    <w:p>
      <w:pPr>
        <w:pStyle w:val="ListBullet"/>
        <w:spacing w:after="40"/>
        <w:ind w:left="360"/>
      </w:pPr>
      <w:r>
        <w:rPr>
          <w:b w:val="0"/>
          <w:sz w:val="20"/>
        </w:rPr>
        <w:t>Covenant conditions (DSCR, minimum cash balance)</w:t>
      </w:r>
    </w:p>
    <w:p>
      <w:pPr>
        <w:pStyle w:val="ListBullet"/>
        <w:spacing w:after="40"/>
        <w:ind w:left="360"/>
      </w:pPr>
      <w:r>
        <w:rPr>
          <w:b w:val="0"/>
          <w:sz w:val="20"/>
        </w:rPr>
        <w:t>Grace period (if any)</w:t>
      </w:r>
    </w:p>
    <w:p/>
    <w:p>
      <w:pPr>
        <w:spacing w:before="0" w:after="80"/>
        <w:jc w:val="left"/>
        <w:keepNext/>
      </w:pPr>
      <w:r>
        <w:rPr>
          <w:b/>
          <w:i w:val="0"/>
          <w:sz w:val="20"/>
        </w:rPr>
        <w:t>Capital Intelligence Outputs</w:t>
      </w:r>
    </w:p>
    <w:p>
      <w:pPr>
        <w:pStyle w:val="ListBullet"/>
        <w:spacing w:after="40"/>
        <w:ind w:left="360"/>
      </w:pPr>
      <w:r>
        <w:rPr>
          <w:b w:val="0"/>
          <w:sz w:val="20"/>
        </w:rPr>
        <w:t>Latest Safe Raise Month: Month when cash will fall below minimum buffer without new funding</w:t>
      </w:r>
    </w:p>
    <w:p>
      <w:pPr>
        <w:pStyle w:val="ListBullet"/>
        <w:spacing w:after="40"/>
        <w:ind w:left="360"/>
      </w:pPr>
      <w:r>
        <w:rPr>
          <w:b w:val="0"/>
          <w:sz w:val="20"/>
        </w:rPr>
        <w:t>Raise size recommendation = 18-24 months runway from close date</w:t>
      </w:r>
    </w:p>
    <w:p>
      <w:pPr>
        <w:pStyle w:val="ListBullet"/>
        <w:spacing w:after="40"/>
        <w:ind w:left="360"/>
      </w:pPr>
      <w:r>
        <w:rPr>
          <w:b w:val="0"/>
          <w:sz w:val="20"/>
        </w:rPr>
        <w:t>Dilution-aware IRR modeling across all rounds</w:t>
      </w:r>
    </w:p>
    <w:p>
      <w:pPr>
        <w:pStyle w:val="ListBullet"/>
        <w:spacing w:after="40"/>
        <w:ind w:left="360"/>
      </w:pPr>
      <w:r>
        <w:rPr>
          <w:b w:val="0"/>
          <w:sz w:val="20"/>
        </w:rPr>
        <w:t>Covenant breach early warning triggers</w:t>
      </w:r>
    </w:p>
    <w:p>
      <w:r>
        <w:br w:type="page"/>
      </w:r>
    </w:p>
    <w:p>
      <w:pPr>
        <w:pStyle w:val="Heading1"/>
        <w:keepNext/>
      </w:pPr>
      <w:r>
        <w:t>8. Financial Projection Engine Detail</w:t>
      </w:r>
    </w:p>
    <w:p>
      <w:pPr>
        <w:pStyle w:val="Heading2"/>
        <w:keepNext/>
      </w:pPr>
      <w:r>
        <w:t>8A. P&amp;L Projection Waterfall</w:t>
      </w:r>
    </w:p>
    <w:tbl>
      <w:tblPr>
        <w:tblStyle w:val="TableGrid"/>
        <w:tblW w:type="auto" w:w="0"/>
        <w:tblLook w:firstColumn="1" w:firstRow="1" w:lastColumn="0" w:lastRow="0" w:noHBand="0" w:noVBand="1" w:val="04A0"/>
      </w:tblPr>
      <w:tblGrid>
        <w:gridCol w:w="4680"/>
        <w:gridCol w:w="4680"/>
      </w:tblGrid>
      <w:tr>
        <w:tc>
          <w:tcPr>
            <w:tcW w:type="dxa" w:w="4320"/>
            <w:shd w:fill="00695C" w:val="clear"/>
          </w:tcPr>
          <w:p>
            <w:pPr>
              <w:keepLines/>
            </w:pPr>
            <w:r>
              <w:rPr>
                <w:b/>
                <w:color w:val="FFFFFF"/>
                <w:sz w:val="20"/>
              </w:rPr>
              <w:t>Line Item</w:t>
            </w:r>
          </w:p>
        </w:tc>
        <w:tc>
          <w:tcPr>
            <w:tcW w:type="dxa" w:w="5040"/>
            <w:shd w:fill="00695C" w:val="clear"/>
          </w:tcPr>
          <w:p>
            <w:pPr>
              <w:keepLines/>
            </w:pPr>
            <w:r>
              <w:rPr>
                <w:b/>
                <w:color w:val="FFFFFF"/>
                <w:sz w:val="20"/>
              </w:rPr>
              <w:t>Description</w:t>
            </w:r>
          </w:p>
        </w:tc>
      </w:tr>
      <w:tr>
        <w:tc>
          <w:tcPr>
            <w:tcW w:type="dxa" w:w="4320"/>
            <w:shd w:fill="F8F8F8" w:val="clear"/>
          </w:tcPr>
          <w:p>
            <w:pPr>
              <w:keepLines/>
            </w:pPr>
            <w:r>
              <w:rPr>
                <w:b w:val="0"/>
                <w:sz w:val="19"/>
              </w:rPr>
              <w:t>Gross Order Value (GOV)</w:t>
            </w:r>
          </w:p>
        </w:tc>
        <w:tc>
          <w:tcPr>
            <w:tcW w:type="dxa" w:w="5040"/>
            <w:shd w:fill="F8F8F8" w:val="clear"/>
          </w:tcPr>
          <w:p>
            <w:pPr>
              <w:keepLines/>
            </w:pPr>
            <w:r>
              <w:rPr>
                <w:b w:val="0"/>
                <w:sz w:val="19"/>
              </w:rPr>
              <w:t>Revenue before any deductions</w:t>
            </w:r>
          </w:p>
        </w:tc>
      </w:tr>
      <w:tr>
        <w:tc>
          <w:tcPr>
            <w:tcW w:type="dxa" w:w="4320"/>
            <w:shd w:fill="FFFFFF" w:val="clear"/>
          </w:tcPr>
          <w:p>
            <w:pPr>
              <w:keepLines/>
            </w:pPr>
            <w:r>
              <w:rPr>
                <w:b w:val="0"/>
                <w:sz w:val="19"/>
              </w:rPr>
              <w:t>Less: Platform Discounts &amp; Promo Funding</w:t>
            </w:r>
          </w:p>
        </w:tc>
        <w:tc>
          <w:tcPr>
            <w:tcW w:type="dxa" w:w="5040"/>
            <w:shd w:fill="FFFFFF" w:val="clear"/>
          </w:tcPr>
          <w:p>
            <w:pPr>
              <w:keepLines/>
            </w:pPr>
            <w:r>
              <w:rPr>
                <w:b w:val="0"/>
                <w:sz w:val="19"/>
              </w:rPr>
              <w:t>Self-funded + co-funded discounts</w:t>
            </w:r>
          </w:p>
        </w:tc>
      </w:tr>
      <w:tr>
        <w:tc>
          <w:tcPr>
            <w:tcW w:type="dxa" w:w="4320"/>
            <w:shd w:fill="F8F8F8" w:val="clear"/>
          </w:tcPr>
          <w:p>
            <w:pPr>
              <w:keepLines/>
            </w:pPr>
            <w:r>
              <w:rPr>
                <w:b w:val="0"/>
                <w:sz w:val="19"/>
              </w:rPr>
              <w:t>Less: Cancellations &amp; Refunds</w:t>
            </w:r>
          </w:p>
        </w:tc>
        <w:tc>
          <w:tcPr>
            <w:tcW w:type="dxa" w:w="5040"/>
            <w:shd w:fill="F8F8F8" w:val="clear"/>
          </w:tcPr>
          <w:p>
            <w:pPr>
              <w:keepLines/>
            </w:pPr>
            <w:r>
              <w:rPr>
                <w:b w:val="0"/>
                <w:sz w:val="19"/>
              </w:rPr>
              <w:t>Platform and own-channel cancellations</w:t>
            </w:r>
          </w:p>
        </w:tc>
      </w:tr>
      <w:tr>
        <w:tc>
          <w:tcPr>
            <w:tcW w:type="dxa" w:w="4320"/>
            <w:shd w:fill="D4EDDA" w:val="clear"/>
          </w:tcPr>
          <w:p>
            <w:pPr>
              <w:keepLines/>
            </w:pPr>
            <w:r>
              <w:rPr>
                <w:b/>
                <w:sz w:val="19"/>
              </w:rPr>
              <w:t>= Gross Revenue</w:t>
            </w:r>
          </w:p>
        </w:tc>
        <w:tc>
          <w:tcPr>
            <w:tcW w:type="dxa" w:w="5040"/>
            <w:shd w:fill="D4EDDA" w:val="clear"/>
          </w:tcPr>
          <w:p>
            <w:pPr>
              <w:keepLines/>
            </w:pPr>
            <w:r>
              <w:rPr>
                <w:b/>
                <w:sz w:val="19"/>
              </w:rPr>
              <w:t>Top-line revenue</w:t>
            </w:r>
          </w:p>
        </w:tc>
      </w:tr>
      <w:tr>
        <w:tc>
          <w:tcPr>
            <w:tcW w:type="dxa" w:w="4320"/>
            <w:shd w:fill="F8F8F8" w:val="clear"/>
          </w:tcPr>
          <w:p>
            <w:pPr>
              <w:keepLines/>
            </w:pPr>
            <w:r>
              <w:rPr>
                <w:b w:val="0"/>
                <w:sz w:val="19"/>
              </w:rPr>
              <w:t>Less: Platform Commissions (18-35%)</w:t>
            </w:r>
          </w:p>
        </w:tc>
        <w:tc>
          <w:tcPr>
            <w:tcW w:type="dxa" w:w="5040"/>
            <w:shd w:fill="F8F8F8" w:val="clear"/>
          </w:tcPr>
          <w:p>
            <w:pPr>
              <w:keepLines/>
            </w:pPr>
            <w:r>
              <w:rPr>
                <w:b w:val="0"/>
                <w:sz w:val="19"/>
              </w:rPr>
              <w:t>Per-platform commission rates</w:t>
            </w:r>
          </w:p>
        </w:tc>
      </w:tr>
      <w:tr>
        <w:tc>
          <w:tcPr>
            <w:tcW w:type="dxa" w:w="4320"/>
            <w:shd w:fill="D4EDDA" w:val="clear"/>
          </w:tcPr>
          <w:p>
            <w:pPr>
              <w:keepLines/>
            </w:pPr>
            <w:r>
              <w:rPr>
                <w:b/>
                <w:sz w:val="19"/>
              </w:rPr>
              <w:t>= Net Revenue</w:t>
            </w:r>
          </w:p>
        </w:tc>
        <w:tc>
          <w:tcPr>
            <w:tcW w:type="dxa" w:w="5040"/>
            <w:shd w:fill="D4EDDA" w:val="clear"/>
          </w:tcPr>
          <w:p>
            <w:pPr>
              <w:keepLines/>
            </w:pPr>
            <w:r>
              <w:rPr>
                <w:b/>
                <w:sz w:val="19"/>
              </w:rPr>
              <w:t>Revenue retained by the business</w:t>
            </w:r>
          </w:p>
        </w:tc>
      </w:tr>
      <w:tr>
        <w:tc>
          <w:tcPr>
            <w:tcW w:type="dxa" w:w="4320"/>
            <w:shd w:fill="F8F8F8" w:val="clear"/>
          </w:tcPr>
          <w:p>
            <w:pPr>
              <w:keepLines/>
            </w:pPr>
            <w:r>
              <w:rPr>
                <w:b w:val="0"/>
                <w:sz w:val="19"/>
              </w:rPr>
              <w:t>Less: Food &amp; Packaging Cost (COGS)</w:t>
            </w:r>
          </w:p>
        </w:tc>
        <w:tc>
          <w:tcPr>
            <w:tcW w:type="dxa" w:w="5040"/>
            <w:shd w:fill="F8F8F8" w:val="clear"/>
          </w:tcPr>
          <w:p>
            <w:pPr>
              <w:keepLines/>
            </w:pPr>
            <w:r>
              <w:rPr>
                <w:b w:val="0"/>
                <w:sz w:val="19"/>
              </w:rPr>
              <w:t>Variable cost of goods sold</w:t>
            </w:r>
          </w:p>
        </w:tc>
      </w:tr>
      <w:tr>
        <w:tc>
          <w:tcPr>
            <w:tcW w:type="dxa" w:w="4320"/>
            <w:shd w:fill="D4EDDA" w:val="clear"/>
          </w:tcPr>
          <w:p>
            <w:pPr>
              <w:keepLines/>
            </w:pPr>
            <w:r>
              <w:rPr>
                <w:b/>
                <w:sz w:val="19"/>
              </w:rPr>
              <w:t>= Gross Profit</w:t>
            </w:r>
          </w:p>
        </w:tc>
        <w:tc>
          <w:tcPr>
            <w:tcW w:type="dxa" w:w="5040"/>
            <w:shd w:fill="D4EDDA" w:val="clear"/>
          </w:tcPr>
          <w:p>
            <w:pPr>
              <w:keepLines/>
            </w:pPr>
            <w:r>
              <w:rPr>
                <w:b/>
                <w:sz w:val="19"/>
              </w:rPr>
              <w:t>CM1 — contribution after COGS</w:t>
            </w:r>
          </w:p>
        </w:tc>
      </w:tr>
      <w:tr>
        <w:tc>
          <w:tcPr>
            <w:tcW w:type="dxa" w:w="4320"/>
            <w:shd w:fill="F8F8F8" w:val="clear"/>
          </w:tcPr>
          <w:p>
            <w:pPr>
              <w:keepLines/>
            </w:pPr>
            <w:r>
              <w:rPr>
                <w:b w:val="0"/>
                <w:sz w:val="19"/>
              </w:rPr>
              <w:t>Less: Labor Cost</w:t>
            </w:r>
          </w:p>
        </w:tc>
        <w:tc>
          <w:tcPr>
            <w:tcW w:type="dxa" w:w="5040"/>
            <w:shd w:fill="F8F8F8" w:val="clear"/>
          </w:tcPr>
          <w:p>
            <w:pPr>
              <w:keepLines/>
            </w:pPr>
            <w:r>
              <w:rPr>
                <w:b w:val="0"/>
                <w:sz w:val="19"/>
              </w:rPr>
              <w:t>Kitchen + delivery + management payroll</w:t>
            </w:r>
          </w:p>
        </w:tc>
      </w:tr>
      <w:tr>
        <w:tc>
          <w:tcPr>
            <w:tcW w:type="dxa" w:w="4320"/>
            <w:shd w:fill="FFFFFF" w:val="clear"/>
          </w:tcPr>
          <w:p>
            <w:pPr>
              <w:keepLines/>
            </w:pPr>
            <w:r>
              <w:rPr>
                <w:b w:val="0"/>
                <w:sz w:val="19"/>
              </w:rPr>
              <w:t>Less: Rent &amp; Utilities</w:t>
            </w:r>
          </w:p>
        </w:tc>
        <w:tc>
          <w:tcPr>
            <w:tcW w:type="dxa" w:w="5040"/>
            <w:shd w:fill="FFFFFF" w:val="clear"/>
          </w:tcPr>
          <w:p>
            <w:pPr>
              <w:keepLines/>
            </w:pPr>
            <w:r>
              <w:rPr>
                <w:b w:val="0"/>
                <w:sz w:val="19"/>
              </w:rPr>
              <w:t>Fixed kitchen costs</w:t>
            </w:r>
          </w:p>
        </w:tc>
      </w:tr>
      <w:tr>
        <w:tc>
          <w:tcPr>
            <w:tcW w:type="dxa" w:w="4320"/>
            <w:shd w:fill="F8F8F8" w:val="clear"/>
          </w:tcPr>
          <w:p>
            <w:pPr>
              <w:keepLines/>
            </w:pPr>
            <w:r>
              <w:rPr>
                <w:b w:val="0"/>
                <w:sz w:val="19"/>
              </w:rPr>
              <w:t>Less: Marketing Spend</w:t>
            </w:r>
          </w:p>
        </w:tc>
        <w:tc>
          <w:tcPr>
            <w:tcW w:type="dxa" w:w="5040"/>
            <w:shd w:fill="F8F8F8" w:val="clear"/>
          </w:tcPr>
          <w:p>
            <w:pPr>
              <w:keepLines/>
            </w:pPr>
            <w:r>
              <w:rPr>
                <w:b w:val="0"/>
                <w:sz w:val="19"/>
              </w:rPr>
              <w:t>All paid marketing channels</w:t>
            </w:r>
          </w:p>
        </w:tc>
      </w:tr>
      <w:tr>
        <w:tc>
          <w:tcPr>
            <w:tcW w:type="dxa" w:w="4320"/>
            <w:shd w:fill="FFFFFF" w:val="clear"/>
          </w:tcPr>
          <w:p>
            <w:pPr>
              <w:keepLines/>
            </w:pPr>
            <w:r>
              <w:rPr>
                <w:b w:val="0"/>
                <w:sz w:val="19"/>
              </w:rPr>
              <w:t>Less: Admin &amp; Other Opex</w:t>
            </w:r>
          </w:p>
        </w:tc>
        <w:tc>
          <w:tcPr>
            <w:tcW w:type="dxa" w:w="5040"/>
            <w:shd w:fill="FFFFFF" w:val="clear"/>
          </w:tcPr>
          <w:p>
            <w:pPr>
              <w:keepLines/>
            </w:pPr>
            <w:r>
              <w:rPr>
                <w:b w:val="0"/>
                <w:sz w:val="19"/>
              </w:rPr>
              <w:t>Technology, insurance, maintenance</w:t>
            </w:r>
          </w:p>
        </w:tc>
      </w:tr>
      <w:tr>
        <w:tc>
          <w:tcPr>
            <w:tcW w:type="dxa" w:w="4320"/>
            <w:shd w:fill="D4EDDA" w:val="clear"/>
          </w:tcPr>
          <w:p>
            <w:pPr>
              <w:keepLines/>
            </w:pPr>
            <w:r>
              <w:rPr>
                <w:b/>
                <w:sz w:val="19"/>
              </w:rPr>
              <w:t>= EBITDA</w:t>
            </w:r>
          </w:p>
        </w:tc>
        <w:tc>
          <w:tcPr>
            <w:tcW w:type="dxa" w:w="5040"/>
            <w:shd w:fill="D4EDDA" w:val="clear"/>
          </w:tcPr>
          <w:p>
            <w:pPr>
              <w:keepLines/>
            </w:pPr>
            <w:r>
              <w:rPr>
                <w:b/>
                <w:sz w:val="19"/>
              </w:rPr>
              <w:t>Core profitability KPI</w:t>
            </w:r>
          </w:p>
        </w:tc>
      </w:tr>
      <w:tr>
        <w:tc>
          <w:tcPr>
            <w:tcW w:type="dxa" w:w="4320"/>
            <w:shd w:fill="FFFFFF" w:val="clear"/>
          </w:tcPr>
          <w:p>
            <w:pPr>
              <w:keepLines/>
            </w:pPr>
            <w:r>
              <w:rPr>
                <w:b w:val="0"/>
                <w:sz w:val="19"/>
              </w:rPr>
              <w:t>Less: Depreciation &amp; Amortization</w:t>
            </w:r>
          </w:p>
        </w:tc>
        <w:tc>
          <w:tcPr>
            <w:tcW w:type="dxa" w:w="5040"/>
            <w:shd w:fill="FFFFFF" w:val="clear"/>
          </w:tcPr>
          <w:p>
            <w:pPr>
              <w:keepLines/>
            </w:pPr>
            <w:r>
              <w:rPr>
                <w:b w:val="0"/>
                <w:sz w:val="19"/>
              </w:rPr>
              <w:t>Capex amortized over asset life</w:t>
            </w:r>
          </w:p>
        </w:tc>
      </w:tr>
      <w:tr>
        <w:tc>
          <w:tcPr>
            <w:tcW w:type="dxa" w:w="4320"/>
            <w:shd w:fill="D4EDDA" w:val="clear"/>
          </w:tcPr>
          <w:p>
            <w:pPr>
              <w:keepLines/>
            </w:pPr>
            <w:r>
              <w:rPr>
                <w:b/>
                <w:sz w:val="19"/>
              </w:rPr>
              <w:t>= EBIT</w:t>
            </w:r>
          </w:p>
        </w:tc>
        <w:tc>
          <w:tcPr>
            <w:tcW w:type="dxa" w:w="5040"/>
            <w:shd w:fill="D4EDDA" w:val="clear"/>
          </w:tcPr>
          <w:p>
            <w:pPr>
              <w:keepLines/>
            </w:pPr>
            <w:r>
              <w:rPr>
                <w:b/>
                <w:sz w:val="19"/>
              </w:rPr>
              <w:t>Earnings before interest &amp; tax</w:t>
            </w:r>
          </w:p>
        </w:tc>
      </w:tr>
      <w:tr>
        <w:tc>
          <w:tcPr>
            <w:tcW w:type="dxa" w:w="4320"/>
            <w:shd w:fill="FFFFFF" w:val="clear"/>
          </w:tcPr>
          <w:p>
            <w:pPr>
              <w:keepLines/>
            </w:pPr>
            <w:r>
              <w:rPr>
                <w:b w:val="0"/>
                <w:sz w:val="19"/>
              </w:rPr>
              <w:t>Less: Interest Expense</w:t>
            </w:r>
          </w:p>
        </w:tc>
        <w:tc>
          <w:tcPr>
            <w:tcW w:type="dxa" w:w="5040"/>
            <w:shd w:fill="FFFFFF" w:val="clear"/>
          </w:tcPr>
          <w:p>
            <w:pPr>
              <w:keepLines/>
            </w:pPr>
            <w:r>
              <w:rPr>
                <w:b w:val="0"/>
                <w:sz w:val="19"/>
              </w:rPr>
              <w:t>On debt facilities</w:t>
            </w:r>
          </w:p>
        </w:tc>
      </w:tr>
      <w:tr>
        <w:tc>
          <w:tcPr>
            <w:tcW w:type="dxa" w:w="4320"/>
            <w:shd w:fill="D4EDDA" w:val="clear"/>
          </w:tcPr>
          <w:p>
            <w:pPr>
              <w:keepLines/>
            </w:pPr>
            <w:r>
              <w:rPr>
                <w:b/>
                <w:sz w:val="19"/>
              </w:rPr>
              <w:t>= EBT</w:t>
            </w:r>
          </w:p>
        </w:tc>
        <w:tc>
          <w:tcPr>
            <w:tcW w:type="dxa" w:w="5040"/>
            <w:shd w:fill="D4EDDA" w:val="clear"/>
          </w:tcPr>
          <w:p>
            <w:pPr>
              <w:keepLines/>
            </w:pPr>
            <w:r>
              <w:rPr>
                <w:b/>
                <w:sz w:val="19"/>
              </w:rPr>
              <w:t>Earnings before tax</w:t>
            </w:r>
          </w:p>
        </w:tc>
      </w:tr>
      <w:tr>
        <w:tc>
          <w:tcPr>
            <w:tcW w:type="dxa" w:w="4320"/>
            <w:shd w:fill="FFFFFF" w:val="clear"/>
          </w:tcPr>
          <w:p>
            <w:pPr>
              <w:keepLines/>
            </w:pPr>
            <w:r>
              <w:rPr>
                <w:b w:val="0"/>
                <w:sz w:val="19"/>
              </w:rPr>
              <w:t>Less: Tax</w:t>
            </w:r>
          </w:p>
        </w:tc>
        <w:tc>
          <w:tcPr>
            <w:tcW w:type="dxa" w:w="5040"/>
            <w:shd w:fill="FFFFFF" w:val="clear"/>
          </w:tcPr>
          <w:p>
            <w:pPr>
              <w:keepLines/>
            </w:pPr>
            <w:r>
              <w:rPr>
                <w:b w:val="0"/>
                <w:sz w:val="19"/>
              </w:rPr>
              <w:t>Corporate tax per jurisdiction</w:t>
            </w:r>
          </w:p>
        </w:tc>
      </w:tr>
      <w:tr>
        <w:tc>
          <w:tcPr>
            <w:tcW w:type="dxa" w:w="4320"/>
            <w:shd w:fill="D4EDDA" w:val="clear"/>
          </w:tcPr>
          <w:p>
            <w:pPr>
              <w:keepLines/>
            </w:pPr>
            <w:r>
              <w:rPr>
                <w:b/>
                <w:sz w:val="19"/>
              </w:rPr>
              <w:t>= Net Income</w:t>
            </w:r>
          </w:p>
        </w:tc>
        <w:tc>
          <w:tcPr>
            <w:tcW w:type="dxa" w:w="5040"/>
            <w:shd w:fill="D4EDDA" w:val="clear"/>
          </w:tcPr>
          <w:p>
            <w:pPr>
              <w:keepLines/>
            </w:pPr>
            <w:r>
              <w:rPr>
                <w:b/>
                <w:sz w:val="19"/>
              </w:rPr>
              <w:t>Bottom-line profit/loss</w:t>
            </w:r>
          </w:p>
        </w:tc>
      </w:tr>
    </w:tbl>
    <w:p/>
    <w:p>
      <w:pPr>
        <w:pStyle w:val="Heading2"/>
        <w:keepNext/>
      </w:pPr>
      <w:r>
        <w:t>8B. Cash Flow Projection Method</w:t>
      </w:r>
    </w:p>
    <w:p>
      <w:pPr>
        <w:spacing w:before="0" w:after="80"/>
        <w:jc w:val="left"/>
      </w:pPr>
      <w:r>
        <w:rPr>
          <w:b w:val="0"/>
          <w:i w:val="0"/>
          <w:sz w:val="20"/>
        </w:rPr>
        <w:t>The engine uses the Direct Method. Cash Flow starts with EBITDA, then adjusts for: Working Capital changes (Inventory / AP / Platform Settlement Lag), subtracts Capex, and adds Net Financing (Debt drawdowns and repayments, equity proceeds).</w:t>
      </w:r>
    </w:p>
    <w:p>
      <w:pPr>
        <w:spacing w:before="0" w:after="80"/>
        <w:jc w:val="left"/>
      </w:pPr>
      <w:r>
        <w:rPr>
          <w:b w:val="0"/>
          <w:i/>
          <w:sz w:val="19"/>
        </w:rPr>
        <w:t>Cash Flow is the primary survival metric for startups. The engine prioritizes accurate cash burn and runway visualization over accounting precision for non-cash items.</w:t>
      </w:r>
    </w:p>
    <w:p/>
    <w:p>
      <w:pPr>
        <w:pStyle w:val="Heading2"/>
        <w:keepNext/>
      </w:pPr>
      <w:r>
        <w:t>8C. Balance Sheet Projection Structure</w:t>
      </w:r>
    </w:p>
    <w:tbl>
      <w:tblPr>
        <w:tblStyle w:val="TableGrid"/>
        <w:tblW w:type="auto" w:w="0"/>
        <w:tblLook w:firstColumn="1" w:firstRow="1" w:lastColumn="0" w:lastRow="0" w:noHBand="0" w:noVBand="1" w:val="04A0"/>
      </w:tblPr>
      <w:tblGrid>
        <w:gridCol w:w="3120"/>
        <w:gridCol w:w="3120"/>
        <w:gridCol w:w="3120"/>
      </w:tblGrid>
      <w:tr>
        <w:tc>
          <w:tcPr>
            <w:tcW w:type="dxa" w:w="3600"/>
            <w:shd w:fill="00695C" w:val="clear"/>
          </w:tcPr>
          <w:p>
            <w:pPr>
              <w:keepLines/>
            </w:pPr>
            <w:r>
              <w:rPr>
                <w:b/>
                <w:color w:val="FFFFFF"/>
                <w:sz w:val="20"/>
              </w:rPr>
              <w:t>Line Item</w:t>
            </w:r>
          </w:p>
        </w:tc>
        <w:tc>
          <w:tcPr>
            <w:tcW w:type="dxa" w:w="4320"/>
            <w:shd w:fill="00695C" w:val="clear"/>
          </w:tcPr>
          <w:p>
            <w:pPr>
              <w:keepLines/>
            </w:pPr>
            <w:r>
              <w:rPr>
                <w:b/>
                <w:color w:val="FFFFFF"/>
                <w:sz w:val="20"/>
              </w:rPr>
              <w:t>Driver / Calculation</w:t>
            </w:r>
          </w:p>
        </w:tc>
        <w:tc>
          <w:tcPr>
            <w:tcW w:type="dxa" w:w="1440"/>
            <w:shd w:fill="00695C" w:val="clear"/>
          </w:tcPr>
          <w:p>
            <w:pPr>
              <w:keepLines/>
            </w:pPr>
            <w:r>
              <w:rPr>
                <w:b/>
                <w:color w:val="FFFFFF"/>
                <w:sz w:val="20"/>
              </w:rPr>
              <w:t>Periodicity</w:t>
            </w:r>
          </w:p>
        </w:tc>
      </w:tr>
      <w:tr>
        <w:tc>
          <w:tcPr>
            <w:tcW w:type="dxa" w:w="3600"/>
            <w:shd w:fill="1B3A6B" w:val="clear"/>
          </w:tcPr>
          <w:p>
            <w:pPr>
              <w:keepLines/>
            </w:pPr>
            <w:r>
              <w:rPr>
                <w:b/>
                <w:color w:val="FFFFFF"/>
                <w:sz w:val="19"/>
              </w:rPr>
              <w:t>ASSETS</w:t>
            </w:r>
          </w:p>
        </w:tc>
        <w:tc>
          <w:tcPr>
            <w:tcW w:type="dxa" w:w="4320"/>
            <w:shd w:fill="1B3A6B" w:val="clear"/>
          </w:tcPr>
          <w:p>
            <w:pPr>
              <w:keepLines/>
            </w:pPr>
            <w:r>
              <w:rPr>
                <w:b/>
                <w:color w:val="FFFFFF"/>
                <w:sz w:val="19"/>
              </w:rPr>
            </w:r>
          </w:p>
        </w:tc>
        <w:tc>
          <w:tcPr>
            <w:tcW w:type="dxa" w:w="1440"/>
            <w:shd w:fill="1B3A6B" w:val="clear"/>
          </w:tcPr>
          <w:p>
            <w:pPr>
              <w:keepLines/>
            </w:pPr>
            <w:r>
              <w:rPr>
                <w:b/>
                <w:color w:val="FFFFFF"/>
                <w:sz w:val="19"/>
              </w:rPr>
            </w:r>
          </w:p>
        </w:tc>
      </w:tr>
      <w:tr>
        <w:tc>
          <w:tcPr>
            <w:tcW w:type="dxa" w:w="3600"/>
            <w:shd w:fill="FFFFFF" w:val="clear"/>
          </w:tcPr>
          <w:p>
            <w:pPr>
              <w:keepLines/>
            </w:pPr>
            <w:r>
              <w:rPr>
                <w:b w:val="0"/>
                <w:sz w:val="19"/>
              </w:rPr>
              <w:t>Cash &amp; Cash Equivalents</w:t>
            </w:r>
          </w:p>
        </w:tc>
        <w:tc>
          <w:tcPr>
            <w:tcW w:type="dxa" w:w="4320"/>
            <w:shd w:fill="FFFFFF" w:val="clear"/>
          </w:tcPr>
          <w:p>
            <w:pPr>
              <w:keepLines/>
            </w:pPr>
            <w:r>
              <w:rPr>
                <w:b w:val="0"/>
                <w:sz w:val="19"/>
              </w:rPr>
              <w:t>Opening + Net Cash Flow</w:t>
            </w:r>
          </w:p>
        </w:tc>
        <w:tc>
          <w:tcPr>
            <w:tcW w:type="dxa" w:w="1440"/>
            <w:shd w:fill="FFFFFF" w:val="clear"/>
          </w:tcPr>
          <w:p>
            <w:pPr>
              <w:keepLines/>
            </w:pPr>
            <w:r>
              <w:rPr>
                <w:b w:val="0"/>
                <w:sz w:val="19"/>
              </w:rPr>
              <w:t>Monthly</w:t>
            </w:r>
          </w:p>
        </w:tc>
      </w:tr>
      <w:tr>
        <w:tc>
          <w:tcPr>
            <w:tcW w:type="dxa" w:w="3600"/>
            <w:shd w:fill="F0F4FA" w:val="clear"/>
          </w:tcPr>
          <w:p>
            <w:pPr>
              <w:keepLines/>
            </w:pPr>
            <w:r>
              <w:rPr>
                <w:b w:val="0"/>
                <w:sz w:val="19"/>
              </w:rPr>
              <w:t>Accounts Receivable (Platform Settlements)</w:t>
            </w:r>
          </w:p>
        </w:tc>
        <w:tc>
          <w:tcPr>
            <w:tcW w:type="dxa" w:w="4320"/>
            <w:shd w:fill="F0F4FA" w:val="clear"/>
          </w:tcPr>
          <w:p>
            <w:pPr>
              <w:keepLines/>
            </w:pPr>
            <w:r>
              <w:rPr>
                <w:b w:val="0"/>
                <w:sz w:val="19"/>
              </w:rPr>
              <w:t>Revenue x Platform Settlement Lag</w:t>
            </w:r>
          </w:p>
        </w:tc>
        <w:tc>
          <w:tcPr>
            <w:tcW w:type="dxa" w:w="1440"/>
            <w:shd w:fill="F0F4FA" w:val="clear"/>
          </w:tcPr>
          <w:p>
            <w:pPr>
              <w:keepLines/>
            </w:pPr>
            <w:r>
              <w:rPr>
                <w:b w:val="0"/>
                <w:sz w:val="19"/>
              </w:rPr>
              <w:t>Monthly</w:t>
            </w:r>
          </w:p>
        </w:tc>
      </w:tr>
      <w:tr>
        <w:tc>
          <w:tcPr>
            <w:tcW w:type="dxa" w:w="3600"/>
            <w:shd w:fill="FFFFFF" w:val="clear"/>
          </w:tcPr>
          <w:p>
            <w:pPr>
              <w:keepLines/>
            </w:pPr>
            <w:r>
              <w:rPr>
                <w:b w:val="0"/>
                <w:sz w:val="19"/>
              </w:rPr>
              <w:t>Inventory</w:t>
            </w:r>
          </w:p>
        </w:tc>
        <w:tc>
          <w:tcPr>
            <w:tcW w:type="dxa" w:w="4320"/>
            <w:shd w:fill="FFFFFF" w:val="clear"/>
          </w:tcPr>
          <w:p>
            <w:pPr>
              <w:keepLines/>
            </w:pPr>
            <w:r>
              <w:rPr>
                <w:b w:val="0"/>
                <w:sz w:val="19"/>
              </w:rPr>
              <w:t>COGS x Inventory Cover Days</w:t>
            </w:r>
          </w:p>
        </w:tc>
        <w:tc>
          <w:tcPr>
            <w:tcW w:type="dxa" w:w="1440"/>
            <w:shd w:fill="FFFFFF" w:val="clear"/>
          </w:tcPr>
          <w:p>
            <w:pPr>
              <w:keepLines/>
            </w:pPr>
            <w:r>
              <w:rPr>
                <w:b w:val="0"/>
                <w:sz w:val="19"/>
              </w:rPr>
              <w:t>Monthly</w:t>
            </w:r>
          </w:p>
        </w:tc>
      </w:tr>
      <w:tr>
        <w:tc>
          <w:tcPr>
            <w:tcW w:type="dxa" w:w="3600"/>
            <w:shd w:fill="F0F4FA" w:val="clear"/>
          </w:tcPr>
          <w:p>
            <w:pPr>
              <w:keepLines/>
            </w:pPr>
            <w:r>
              <w:rPr>
                <w:b w:val="0"/>
                <w:sz w:val="19"/>
              </w:rPr>
              <w:t>Prepaid Expenses &amp; Deposits</w:t>
            </w:r>
          </w:p>
        </w:tc>
        <w:tc>
          <w:tcPr>
            <w:tcW w:type="dxa" w:w="4320"/>
            <w:shd w:fill="F0F4FA" w:val="clear"/>
          </w:tcPr>
          <w:p>
            <w:pPr>
              <w:keepLines/>
            </w:pPr>
            <w:r>
              <w:rPr>
                <w:b w:val="0"/>
                <w:sz w:val="19"/>
              </w:rPr>
              <w:t>Rent deposits + supplier prepayments</w:t>
            </w:r>
          </w:p>
        </w:tc>
        <w:tc>
          <w:tcPr>
            <w:tcW w:type="dxa" w:w="1440"/>
            <w:shd w:fill="F0F4FA" w:val="clear"/>
          </w:tcPr>
          <w:p>
            <w:pPr>
              <w:keepLines/>
            </w:pPr>
            <w:r>
              <w:rPr>
                <w:b w:val="0"/>
                <w:sz w:val="19"/>
              </w:rPr>
              <w:t>At setup</w:t>
            </w:r>
          </w:p>
        </w:tc>
      </w:tr>
      <w:tr>
        <w:tc>
          <w:tcPr>
            <w:tcW w:type="dxa" w:w="3600"/>
            <w:shd w:fill="FFFFFF" w:val="clear"/>
          </w:tcPr>
          <w:p>
            <w:pPr>
              <w:keepLines/>
            </w:pPr>
            <w:r>
              <w:rPr>
                <w:b w:val="0"/>
                <w:sz w:val="19"/>
              </w:rPr>
              <w:t>PP&amp;E (net of depreciation)</w:t>
            </w:r>
          </w:p>
        </w:tc>
        <w:tc>
          <w:tcPr>
            <w:tcW w:type="dxa" w:w="4320"/>
            <w:shd w:fill="FFFFFF" w:val="clear"/>
          </w:tcPr>
          <w:p>
            <w:pPr>
              <w:keepLines/>
            </w:pPr>
            <w:r>
              <w:rPr>
                <w:b w:val="0"/>
                <w:sz w:val="19"/>
              </w:rPr>
              <w:t>Capex cumulative - accumulated depreciation</w:t>
            </w:r>
          </w:p>
        </w:tc>
        <w:tc>
          <w:tcPr>
            <w:tcW w:type="dxa" w:w="1440"/>
            <w:shd w:fill="FFFFFF" w:val="clear"/>
          </w:tcPr>
          <w:p>
            <w:pPr>
              <w:keepLines/>
            </w:pPr>
            <w:r>
              <w:rPr>
                <w:b w:val="0"/>
                <w:sz w:val="19"/>
              </w:rPr>
              <w:t>Monthly</w:t>
            </w:r>
          </w:p>
        </w:tc>
      </w:tr>
      <w:tr>
        <w:tc>
          <w:tcPr>
            <w:tcW w:type="dxa" w:w="3600"/>
            <w:shd w:fill="1B3A6B" w:val="clear"/>
          </w:tcPr>
          <w:p>
            <w:pPr>
              <w:keepLines/>
            </w:pPr>
            <w:r>
              <w:rPr>
                <w:b/>
                <w:color w:val="FFFFFF"/>
                <w:sz w:val="19"/>
              </w:rPr>
              <w:t>LIABILITIES</w:t>
            </w:r>
          </w:p>
        </w:tc>
        <w:tc>
          <w:tcPr>
            <w:tcW w:type="dxa" w:w="4320"/>
            <w:shd w:fill="1B3A6B" w:val="clear"/>
          </w:tcPr>
          <w:p>
            <w:pPr>
              <w:keepLines/>
            </w:pPr>
            <w:r>
              <w:rPr>
                <w:b/>
                <w:color w:val="FFFFFF"/>
                <w:sz w:val="19"/>
              </w:rPr>
            </w:r>
          </w:p>
        </w:tc>
        <w:tc>
          <w:tcPr>
            <w:tcW w:type="dxa" w:w="1440"/>
            <w:shd w:fill="1B3A6B" w:val="clear"/>
          </w:tcPr>
          <w:p>
            <w:pPr>
              <w:keepLines/>
            </w:pPr>
            <w:r>
              <w:rPr>
                <w:b/>
                <w:color w:val="FFFFFF"/>
                <w:sz w:val="19"/>
              </w:rPr>
            </w:r>
          </w:p>
        </w:tc>
      </w:tr>
      <w:tr>
        <w:tc>
          <w:tcPr>
            <w:tcW w:type="dxa" w:w="3600"/>
            <w:shd w:fill="FFFFFF" w:val="clear"/>
          </w:tcPr>
          <w:p>
            <w:pPr>
              <w:keepLines/>
            </w:pPr>
            <w:r>
              <w:rPr>
                <w:b w:val="0"/>
                <w:sz w:val="19"/>
              </w:rPr>
              <w:t>Accounts Payable</w:t>
            </w:r>
          </w:p>
        </w:tc>
        <w:tc>
          <w:tcPr>
            <w:tcW w:type="dxa" w:w="4320"/>
            <w:shd w:fill="FFFFFF" w:val="clear"/>
          </w:tcPr>
          <w:p>
            <w:pPr>
              <w:keepLines/>
            </w:pPr>
            <w:r>
              <w:rPr>
                <w:b w:val="0"/>
                <w:sz w:val="19"/>
              </w:rPr>
              <w:t>COGS x Payable Days</w:t>
            </w:r>
          </w:p>
        </w:tc>
        <w:tc>
          <w:tcPr>
            <w:tcW w:type="dxa" w:w="1440"/>
            <w:shd w:fill="FFFFFF" w:val="clear"/>
          </w:tcPr>
          <w:p>
            <w:pPr>
              <w:keepLines/>
            </w:pPr>
            <w:r>
              <w:rPr>
                <w:b w:val="0"/>
                <w:sz w:val="19"/>
              </w:rPr>
              <w:t>Monthly</w:t>
            </w:r>
          </w:p>
        </w:tc>
      </w:tr>
      <w:tr>
        <w:tc>
          <w:tcPr>
            <w:tcW w:type="dxa" w:w="3600"/>
            <w:shd w:fill="F0F4FA" w:val="clear"/>
          </w:tcPr>
          <w:p>
            <w:pPr>
              <w:keepLines/>
            </w:pPr>
            <w:r>
              <w:rPr>
                <w:b w:val="0"/>
                <w:sz w:val="19"/>
              </w:rPr>
              <w:t>Accrued Salaries</w:t>
            </w:r>
          </w:p>
        </w:tc>
        <w:tc>
          <w:tcPr>
            <w:tcW w:type="dxa" w:w="4320"/>
            <w:shd w:fill="F0F4FA" w:val="clear"/>
          </w:tcPr>
          <w:p>
            <w:pPr>
              <w:keepLines/>
            </w:pPr>
            <w:r>
              <w:rPr>
                <w:b w:val="0"/>
                <w:sz w:val="19"/>
              </w:rPr>
              <w:t>Current month payroll</w:t>
            </w:r>
          </w:p>
        </w:tc>
        <w:tc>
          <w:tcPr>
            <w:tcW w:type="dxa" w:w="1440"/>
            <w:shd w:fill="F0F4FA" w:val="clear"/>
          </w:tcPr>
          <w:p>
            <w:pPr>
              <w:keepLines/>
            </w:pPr>
            <w:r>
              <w:rPr>
                <w:b w:val="0"/>
                <w:sz w:val="19"/>
              </w:rPr>
              <w:t>Monthly</w:t>
            </w:r>
          </w:p>
        </w:tc>
      </w:tr>
      <w:tr>
        <w:tc>
          <w:tcPr>
            <w:tcW w:type="dxa" w:w="3600"/>
            <w:shd w:fill="FFFFFF" w:val="clear"/>
          </w:tcPr>
          <w:p>
            <w:pPr>
              <w:keepLines/>
            </w:pPr>
            <w:r>
              <w:rPr>
                <w:b w:val="0"/>
                <w:sz w:val="19"/>
              </w:rPr>
              <w:t>Tax Payable</w:t>
            </w:r>
          </w:p>
        </w:tc>
        <w:tc>
          <w:tcPr>
            <w:tcW w:type="dxa" w:w="4320"/>
            <w:shd w:fill="FFFFFF" w:val="clear"/>
          </w:tcPr>
          <w:p>
            <w:pPr>
              <w:keepLines/>
            </w:pPr>
            <w:r>
              <w:rPr>
                <w:b w:val="0"/>
                <w:sz w:val="19"/>
              </w:rPr>
              <w:t>EBT x Tax Rate</w:t>
            </w:r>
          </w:p>
        </w:tc>
        <w:tc>
          <w:tcPr>
            <w:tcW w:type="dxa" w:w="1440"/>
            <w:shd w:fill="FFFFFF" w:val="clear"/>
          </w:tcPr>
          <w:p>
            <w:pPr>
              <w:keepLines/>
            </w:pPr>
            <w:r>
              <w:rPr>
                <w:b w:val="0"/>
                <w:sz w:val="19"/>
              </w:rPr>
              <w:t>Monthly</w:t>
            </w:r>
          </w:p>
        </w:tc>
      </w:tr>
      <w:tr>
        <w:tc>
          <w:tcPr>
            <w:tcW w:type="dxa" w:w="3600"/>
            <w:shd w:fill="F0F4FA" w:val="clear"/>
          </w:tcPr>
          <w:p>
            <w:pPr>
              <w:keepLines/>
            </w:pPr>
            <w:r>
              <w:rPr>
                <w:b w:val="0"/>
                <w:sz w:val="19"/>
              </w:rPr>
              <w:t>Debt (long-term)</w:t>
            </w:r>
          </w:p>
        </w:tc>
        <w:tc>
          <w:tcPr>
            <w:tcW w:type="dxa" w:w="4320"/>
            <w:shd w:fill="F0F4FA" w:val="clear"/>
          </w:tcPr>
          <w:p>
            <w:pPr>
              <w:keepLines/>
            </w:pPr>
            <w:r>
              <w:rPr>
                <w:b w:val="0"/>
                <w:sz w:val="19"/>
              </w:rPr>
              <w:t>Debt facility balance outstanding</w:t>
            </w:r>
          </w:p>
        </w:tc>
        <w:tc>
          <w:tcPr>
            <w:tcW w:type="dxa" w:w="1440"/>
            <w:shd w:fill="F0F4FA" w:val="clear"/>
          </w:tcPr>
          <w:p>
            <w:pPr>
              <w:keepLines/>
            </w:pPr>
            <w:r>
              <w:rPr>
                <w:b w:val="0"/>
                <w:sz w:val="19"/>
              </w:rPr>
              <w:t>Monthly</w:t>
            </w:r>
          </w:p>
        </w:tc>
      </w:tr>
      <w:tr>
        <w:tc>
          <w:tcPr>
            <w:tcW w:type="dxa" w:w="3600"/>
            <w:shd w:fill="1B3A6B" w:val="clear"/>
          </w:tcPr>
          <w:p>
            <w:pPr>
              <w:keepLines/>
            </w:pPr>
            <w:r>
              <w:rPr>
                <w:b/>
                <w:color w:val="FFFFFF"/>
                <w:sz w:val="19"/>
              </w:rPr>
              <w:t>EQUITY</w:t>
            </w:r>
          </w:p>
        </w:tc>
        <w:tc>
          <w:tcPr>
            <w:tcW w:type="dxa" w:w="4320"/>
            <w:shd w:fill="1B3A6B" w:val="clear"/>
          </w:tcPr>
          <w:p>
            <w:pPr>
              <w:keepLines/>
            </w:pPr>
            <w:r>
              <w:rPr>
                <w:b/>
                <w:color w:val="FFFFFF"/>
                <w:sz w:val="19"/>
              </w:rPr>
            </w:r>
          </w:p>
        </w:tc>
        <w:tc>
          <w:tcPr>
            <w:tcW w:type="dxa" w:w="1440"/>
            <w:shd w:fill="1B3A6B" w:val="clear"/>
          </w:tcPr>
          <w:p>
            <w:pPr>
              <w:keepLines/>
            </w:pPr>
            <w:r>
              <w:rPr>
                <w:b/>
                <w:color w:val="FFFFFF"/>
                <w:sz w:val="19"/>
              </w:rPr>
            </w:r>
          </w:p>
        </w:tc>
      </w:tr>
      <w:tr>
        <w:tc>
          <w:tcPr>
            <w:tcW w:type="dxa" w:w="3600"/>
            <w:shd w:fill="F0F4FA" w:val="clear"/>
          </w:tcPr>
          <w:p>
            <w:pPr>
              <w:keepLines/>
            </w:pPr>
            <w:r>
              <w:rPr>
                <w:b w:val="0"/>
                <w:sz w:val="19"/>
              </w:rPr>
              <w:t>Paid-in Capital</w:t>
            </w:r>
          </w:p>
        </w:tc>
        <w:tc>
          <w:tcPr>
            <w:tcW w:type="dxa" w:w="4320"/>
            <w:shd w:fill="F0F4FA" w:val="clear"/>
          </w:tcPr>
          <w:p>
            <w:pPr>
              <w:keepLines/>
            </w:pPr>
            <w:r>
              <w:rPr>
                <w:b w:val="0"/>
                <w:sz w:val="19"/>
              </w:rPr>
              <w:t>Cumulative equity raised</w:t>
            </w:r>
          </w:p>
        </w:tc>
        <w:tc>
          <w:tcPr>
            <w:tcW w:type="dxa" w:w="1440"/>
            <w:shd w:fill="F0F4FA" w:val="clear"/>
          </w:tcPr>
          <w:p>
            <w:pPr>
              <w:keepLines/>
            </w:pPr>
            <w:r>
              <w:rPr>
                <w:b w:val="0"/>
                <w:sz w:val="19"/>
              </w:rPr>
              <w:t>At round dates</w:t>
            </w:r>
          </w:p>
        </w:tc>
      </w:tr>
      <w:tr>
        <w:tc>
          <w:tcPr>
            <w:tcW w:type="dxa" w:w="3600"/>
            <w:shd w:fill="FFFFFF" w:val="clear"/>
          </w:tcPr>
          <w:p>
            <w:pPr>
              <w:keepLines/>
            </w:pPr>
            <w:r>
              <w:rPr>
                <w:b w:val="0"/>
                <w:sz w:val="19"/>
              </w:rPr>
              <w:t>Retained Earnings / (Deficit)</w:t>
            </w:r>
          </w:p>
        </w:tc>
        <w:tc>
          <w:tcPr>
            <w:tcW w:type="dxa" w:w="4320"/>
            <w:shd w:fill="FFFFFF" w:val="clear"/>
          </w:tcPr>
          <w:p>
            <w:pPr>
              <w:keepLines/>
            </w:pPr>
            <w:r>
              <w:rPr>
                <w:b w:val="0"/>
                <w:sz w:val="19"/>
              </w:rPr>
              <w:t>Cumulative net income</w:t>
            </w:r>
          </w:p>
        </w:tc>
        <w:tc>
          <w:tcPr>
            <w:tcW w:type="dxa" w:w="1440"/>
            <w:shd w:fill="FFFFFF" w:val="clear"/>
          </w:tcPr>
          <w:p>
            <w:pPr>
              <w:keepLines/>
            </w:pPr>
            <w:r>
              <w:rPr>
                <w:b w:val="0"/>
                <w:sz w:val="19"/>
              </w:rPr>
              <w:t>Monthly</w:t>
            </w:r>
          </w:p>
        </w:tc>
      </w:tr>
    </w:tbl>
    <w:p/>
    <w:p>
      <w:pPr>
        <w:pStyle w:val="Heading2"/>
        <w:keepNext/>
      </w:pPr>
      <w:r>
        <w:t>8D. Unit Economics Waterfall (Per Order)</w:t>
      </w:r>
    </w:p>
    <w:tbl>
      <w:tblPr>
        <w:tblStyle w:val="TableGrid"/>
        <w:tblW w:type="auto" w:w="0"/>
        <w:tblLook w:firstColumn="1" w:firstRow="1" w:lastColumn="0" w:lastRow="0" w:noHBand="0" w:noVBand="1" w:val="04A0"/>
      </w:tblPr>
      <w:tblGrid>
        <w:gridCol w:w="4680"/>
        <w:gridCol w:w="4680"/>
      </w:tblGrid>
      <w:tr>
        <w:tc>
          <w:tcPr>
            <w:tcW w:type="dxa" w:w="4320"/>
            <w:shd w:fill="00695C" w:val="clear"/>
          </w:tcPr>
          <w:p>
            <w:pPr>
              <w:keepLines/>
            </w:pPr>
            <w:r>
              <w:rPr>
                <w:b/>
                <w:color w:val="FFFFFF"/>
                <w:sz w:val="20"/>
              </w:rPr>
              <w:t>Line Item</w:t>
            </w:r>
          </w:p>
        </w:tc>
        <w:tc>
          <w:tcPr>
            <w:tcW w:type="dxa" w:w="5040"/>
            <w:shd w:fill="00695C" w:val="clear"/>
          </w:tcPr>
          <w:p>
            <w:pPr>
              <w:keepLines/>
            </w:pPr>
            <w:r>
              <w:rPr>
                <w:b/>
                <w:color w:val="FFFFFF"/>
                <w:sz w:val="20"/>
              </w:rPr>
              <w:t>Description</w:t>
            </w:r>
          </w:p>
        </w:tc>
      </w:tr>
      <w:tr>
        <w:tc>
          <w:tcPr>
            <w:tcW w:type="dxa" w:w="4320"/>
            <w:shd w:fill="F8F8F8" w:val="clear"/>
          </w:tcPr>
          <w:p>
            <w:pPr>
              <w:keepLines/>
            </w:pPr>
            <w:r>
              <w:rPr>
                <w:b w:val="0"/>
                <w:sz w:val="19"/>
              </w:rPr>
              <w:t>Gross Order Value</w:t>
            </w:r>
          </w:p>
        </w:tc>
        <w:tc>
          <w:tcPr>
            <w:tcW w:type="dxa" w:w="5040"/>
            <w:shd w:fill="F8F8F8" w:val="clear"/>
          </w:tcPr>
          <w:p>
            <w:pPr>
              <w:keepLines/>
            </w:pPr>
            <w:r>
              <w:rPr>
                <w:b w:val="0"/>
                <w:sz w:val="19"/>
              </w:rPr>
              <w:t>Headline menu price paid by customer</w:t>
            </w:r>
          </w:p>
        </w:tc>
      </w:tr>
      <w:tr>
        <w:tc>
          <w:tcPr>
            <w:tcW w:type="dxa" w:w="4320"/>
            <w:shd w:fill="FFFFFF" w:val="clear"/>
          </w:tcPr>
          <w:p>
            <w:pPr>
              <w:keepLines/>
            </w:pPr>
            <w:r>
              <w:rPr>
                <w:b w:val="0"/>
                <w:sz w:val="19"/>
              </w:rPr>
              <w:t>Less: Platform Discount / Promo Funding</w:t>
            </w:r>
          </w:p>
        </w:tc>
        <w:tc>
          <w:tcPr>
            <w:tcW w:type="dxa" w:w="5040"/>
            <w:shd w:fill="FFFFFF" w:val="clear"/>
          </w:tcPr>
          <w:p>
            <w:pPr>
              <w:keepLines/>
            </w:pPr>
            <w:r>
              <w:rPr>
                <w:b w:val="0"/>
                <w:sz w:val="19"/>
              </w:rPr>
              <w:t>Co-funded discount applied at checkout</w:t>
            </w:r>
          </w:p>
        </w:tc>
      </w:tr>
      <w:tr>
        <w:tc>
          <w:tcPr>
            <w:tcW w:type="dxa" w:w="4320"/>
            <w:shd w:fill="F8F8F8" w:val="clear"/>
          </w:tcPr>
          <w:p>
            <w:pPr>
              <w:keepLines/>
            </w:pPr>
            <w:r>
              <w:rPr>
                <w:b w:val="0"/>
                <w:sz w:val="19"/>
              </w:rPr>
              <w:t>Less: Cancellations &amp; Refunds</w:t>
            </w:r>
          </w:p>
        </w:tc>
        <w:tc>
          <w:tcPr>
            <w:tcW w:type="dxa" w:w="5040"/>
            <w:shd w:fill="F8F8F8" w:val="clear"/>
          </w:tcPr>
          <w:p>
            <w:pPr>
              <w:keepLines/>
            </w:pPr>
            <w:r>
              <w:rPr>
                <w:b w:val="0"/>
                <w:sz w:val="19"/>
              </w:rPr>
              <w:t>Cancelled or refunded order value</w:t>
            </w:r>
          </w:p>
        </w:tc>
      </w:tr>
      <w:tr>
        <w:tc>
          <w:tcPr>
            <w:tcW w:type="dxa" w:w="4320"/>
            <w:shd w:fill="D4EDDA" w:val="clear"/>
          </w:tcPr>
          <w:p>
            <w:pPr>
              <w:keepLines/>
            </w:pPr>
            <w:r>
              <w:rPr>
                <w:b/>
                <w:sz w:val="19"/>
              </w:rPr>
              <w:t>= Gross Revenue / Order</w:t>
            </w:r>
          </w:p>
        </w:tc>
        <w:tc>
          <w:tcPr>
            <w:tcW w:type="dxa" w:w="5040"/>
            <w:shd w:fill="D4EDDA" w:val="clear"/>
          </w:tcPr>
          <w:p>
            <w:pPr>
              <w:keepLines/>
            </w:pPr>
            <w:r>
              <w:rPr>
                <w:b/>
                <w:sz w:val="19"/>
              </w:rPr>
            </w:r>
          </w:p>
        </w:tc>
      </w:tr>
      <w:tr>
        <w:tc>
          <w:tcPr>
            <w:tcW w:type="dxa" w:w="4320"/>
            <w:shd w:fill="F8F8F8" w:val="clear"/>
          </w:tcPr>
          <w:p>
            <w:pPr>
              <w:keepLines/>
            </w:pPr>
            <w:r>
              <w:rPr>
                <w:b w:val="0"/>
                <w:sz w:val="19"/>
              </w:rPr>
              <w:t>Less: Platform Commission (18-35%)</w:t>
            </w:r>
          </w:p>
        </w:tc>
        <w:tc>
          <w:tcPr>
            <w:tcW w:type="dxa" w:w="5040"/>
            <w:shd w:fill="F8F8F8" w:val="clear"/>
          </w:tcPr>
          <w:p>
            <w:pPr>
              <w:keepLines/>
            </w:pPr>
            <w:r>
              <w:rPr>
                <w:b w:val="0"/>
                <w:sz w:val="19"/>
              </w:rPr>
              <w:t>Commission to delivery platform</w:t>
            </w:r>
          </w:p>
        </w:tc>
      </w:tr>
      <w:tr>
        <w:tc>
          <w:tcPr>
            <w:tcW w:type="dxa" w:w="4320"/>
            <w:shd w:fill="D4EDDA" w:val="clear"/>
          </w:tcPr>
          <w:p>
            <w:pPr>
              <w:keepLines/>
            </w:pPr>
            <w:r>
              <w:rPr>
                <w:b/>
                <w:sz w:val="19"/>
              </w:rPr>
              <w:t>= Net Revenue / Order (CM0)</w:t>
            </w:r>
          </w:p>
        </w:tc>
        <w:tc>
          <w:tcPr>
            <w:tcW w:type="dxa" w:w="5040"/>
            <w:shd w:fill="D4EDDA" w:val="clear"/>
          </w:tcPr>
          <w:p>
            <w:pPr>
              <w:keepLines/>
            </w:pPr>
            <w:r>
              <w:rPr>
                <w:b/>
                <w:sz w:val="19"/>
              </w:rPr>
            </w:r>
          </w:p>
        </w:tc>
      </w:tr>
      <w:tr>
        <w:tc>
          <w:tcPr>
            <w:tcW w:type="dxa" w:w="4320"/>
            <w:shd w:fill="F8F8F8" w:val="clear"/>
          </w:tcPr>
          <w:p>
            <w:pPr>
              <w:keepLines/>
            </w:pPr>
            <w:r>
              <w:rPr>
                <w:b w:val="0"/>
                <w:sz w:val="19"/>
              </w:rPr>
              <w:t>Less: Food Cost</w:t>
            </w:r>
          </w:p>
        </w:tc>
        <w:tc>
          <w:tcPr>
            <w:tcW w:type="dxa" w:w="5040"/>
            <w:shd w:fill="F8F8F8" w:val="clear"/>
          </w:tcPr>
          <w:p>
            <w:pPr>
              <w:keepLines/>
            </w:pPr>
            <w:r>
              <w:rPr>
                <w:b w:val="0"/>
                <w:sz w:val="19"/>
              </w:rPr>
              <w:t>Ingredient &amp; recipe cost</w:t>
            </w:r>
          </w:p>
        </w:tc>
      </w:tr>
      <w:tr>
        <w:tc>
          <w:tcPr>
            <w:tcW w:type="dxa" w:w="4320"/>
            <w:shd w:fill="FFFFFF" w:val="clear"/>
          </w:tcPr>
          <w:p>
            <w:pPr>
              <w:keepLines/>
            </w:pPr>
            <w:r>
              <w:rPr>
                <w:b w:val="0"/>
                <w:sz w:val="19"/>
              </w:rPr>
              <w:t>Less: Packaging Cost</w:t>
            </w:r>
          </w:p>
        </w:tc>
        <w:tc>
          <w:tcPr>
            <w:tcW w:type="dxa" w:w="5040"/>
            <w:shd w:fill="FFFFFF" w:val="clear"/>
          </w:tcPr>
          <w:p>
            <w:pPr>
              <w:keepLines/>
            </w:pPr>
            <w:r>
              <w:rPr>
                <w:b w:val="0"/>
                <w:sz w:val="19"/>
              </w:rPr>
              <w:t>Boxes, bags, napkins</w:t>
            </w:r>
          </w:p>
        </w:tc>
      </w:tr>
      <w:tr>
        <w:tc>
          <w:tcPr>
            <w:tcW w:type="dxa" w:w="4320"/>
            <w:shd w:fill="D4EDDA" w:val="clear"/>
          </w:tcPr>
          <w:p>
            <w:pPr>
              <w:keepLines/>
            </w:pPr>
            <w:r>
              <w:rPr>
                <w:b/>
                <w:sz w:val="19"/>
              </w:rPr>
              <w:t>= Contribution Margin 1 (CM1)</w:t>
            </w:r>
          </w:p>
        </w:tc>
        <w:tc>
          <w:tcPr>
            <w:tcW w:type="dxa" w:w="5040"/>
            <w:shd w:fill="D4EDDA" w:val="clear"/>
          </w:tcPr>
          <w:p>
            <w:pPr>
              <w:keepLines/>
            </w:pPr>
            <w:r>
              <w:rPr>
                <w:b/>
                <w:sz w:val="19"/>
              </w:rPr>
            </w:r>
          </w:p>
        </w:tc>
      </w:tr>
      <w:tr>
        <w:tc>
          <w:tcPr>
            <w:tcW w:type="dxa" w:w="4320"/>
            <w:shd w:fill="FFFFFF" w:val="clear"/>
          </w:tcPr>
          <w:p>
            <w:pPr>
              <w:keepLines/>
            </w:pPr>
            <w:r>
              <w:rPr>
                <w:b w:val="0"/>
                <w:sz w:val="19"/>
              </w:rPr>
              <w:t>Less: Marketing Cost / Order (blended CAC)</w:t>
            </w:r>
          </w:p>
        </w:tc>
        <w:tc>
          <w:tcPr>
            <w:tcW w:type="dxa" w:w="5040"/>
            <w:shd w:fill="FFFFFF" w:val="clear"/>
          </w:tcPr>
          <w:p>
            <w:pPr>
              <w:keepLines/>
            </w:pPr>
            <w:r>
              <w:rPr>
                <w:b w:val="0"/>
                <w:sz w:val="19"/>
              </w:rPr>
              <w:t>Amortized customer acquisition cost</w:t>
            </w:r>
          </w:p>
        </w:tc>
      </w:tr>
      <w:tr>
        <w:tc>
          <w:tcPr>
            <w:tcW w:type="dxa" w:w="4320"/>
            <w:shd w:fill="D4EDDA" w:val="clear"/>
          </w:tcPr>
          <w:p>
            <w:pPr>
              <w:keepLines/>
            </w:pPr>
            <w:r>
              <w:rPr>
                <w:b/>
                <w:sz w:val="19"/>
              </w:rPr>
              <w:t>= Contribution Margin 2 (CM2)</w:t>
            </w:r>
          </w:p>
        </w:tc>
        <w:tc>
          <w:tcPr>
            <w:tcW w:type="dxa" w:w="5040"/>
            <w:shd w:fill="D4EDDA" w:val="clear"/>
          </w:tcPr>
          <w:p>
            <w:pPr>
              <w:keepLines/>
            </w:pPr>
            <w:r>
              <w:rPr>
                <w:b/>
                <w:sz w:val="19"/>
              </w:rPr>
            </w:r>
          </w:p>
        </w:tc>
      </w:tr>
      <w:tr>
        <w:tc>
          <w:tcPr>
            <w:tcW w:type="dxa" w:w="4320"/>
            <w:shd w:fill="FFFFFF" w:val="clear"/>
          </w:tcPr>
          <w:p>
            <w:pPr>
              <w:keepLines/>
            </w:pPr>
            <w:r>
              <w:rPr>
                <w:b w:val="0"/>
                <w:sz w:val="19"/>
              </w:rPr>
              <w:t>Less: Labor Cost / Order</w:t>
            </w:r>
          </w:p>
        </w:tc>
        <w:tc>
          <w:tcPr>
            <w:tcW w:type="dxa" w:w="5040"/>
            <w:shd w:fill="FFFFFF" w:val="clear"/>
          </w:tcPr>
          <w:p>
            <w:pPr>
              <w:keepLines/>
            </w:pPr>
            <w:r>
              <w:rPr>
                <w:b w:val="0"/>
                <w:sz w:val="19"/>
              </w:rPr>
              <w:t>Kitchen staff share of payroll</w:t>
            </w:r>
          </w:p>
        </w:tc>
      </w:tr>
      <w:tr>
        <w:tc>
          <w:tcPr>
            <w:tcW w:type="dxa" w:w="4320"/>
            <w:shd w:fill="D4EDDA" w:val="clear"/>
          </w:tcPr>
          <w:p>
            <w:pPr>
              <w:keepLines/>
            </w:pPr>
            <w:r>
              <w:rPr>
                <w:b/>
                <w:sz w:val="19"/>
              </w:rPr>
              <w:t>= Contribution Margin 3 (CM3)</w:t>
            </w:r>
          </w:p>
        </w:tc>
        <w:tc>
          <w:tcPr>
            <w:tcW w:type="dxa" w:w="5040"/>
            <w:shd w:fill="D4EDDA" w:val="clear"/>
          </w:tcPr>
          <w:p>
            <w:pPr>
              <w:keepLines/>
            </w:pPr>
            <w:r>
              <w:rPr>
                <w:b/>
                <w:sz w:val="19"/>
              </w:rPr>
            </w:r>
          </w:p>
        </w:tc>
      </w:tr>
      <w:tr>
        <w:tc>
          <w:tcPr>
            <w:tcW w:type="dxa" w:w="4320"/>
            <w:shd w:fill="FFFFFF" w:val="clear"/>
          </w:tcPr>
          <w:p>
            <w:pPr>
              <w:keepLines/>
            </w:pPr>
            <w:r>
              <w:rPr>
                <w:b w:val="0"/>
                <w:sz w:val="19"/>
              </w:rPr>
              <w:t>Less: Rent / Order</w:t>
            </w:r>
          </w:p>
        </w:tc>
        <w:tc>
          <w:tcPr>
            <w:tcW w:type="dxa" w:w="5040"/>
            <w:shd w:fill="FFFFFF" w:val="clear"/>
          </w:tcPr>
          <w:p>
            <w:pPr>
              <w:keepLines/>
            </w:pPr>
            <w:r>
              <w:rPr>
                <w:b w:val="0"/>
                <w:sz w:val="19"/>
              </w:rPr>
              <w:t>Fixed rent allocated per order</w:t>
            </w:r>
          </w:p>
        </w:tc>
      </w:tr>
      <w:tr>
        <w:tc>
          <w:tcPr>
            <w:tcW w:type="dxa" w:w="4320"/>
            <w:shd w:fill="F8F8F8" w:val="clear"/>
          </w:tcPr>
          <w:p>
            <w:pPr>
              <w:keepLines/>
            </w:pPr>
            <w:r>
              <w:rPr>
                <w:b w:val="0"/>
                <w:sz w:val="19"/>
              </w:rPr>
              <w:t>Less: Utilities &amp; Other Fixed / Order</w:t>
            </w:r>
          </w:p>
        </w:tc>
        <w:tc>
          <w:tcPr>
            <w:tcW w:type="dxa" w:w="5040"/>
            <w:shd w:fill="F8F8F8" w:val="clear"/>
          </w:tcPr>
          <w:p>
            <w:pPr>
              <w:keepLines/>
            </w:pPr>
            <w:r>
              <w:rPr>
                <w:b w:val="0"/>
                <w:sz w:val="19"/>
              </w:rPr>
            </w:r>
          </w:p>
        </w:tc>
      </w:tr>
      <w:tr>
        <w:tc>
          <w:tcPr>
            <w:tcW w:type="dxa" w:w="4320"/>
            <w:shd w:fill="D4EDDA" w:val="clear"/>
          </w:tcPr>
          <w:p>
            <w:pPr>
              <w:keepLines/>
            </w:pPr>
            <w:r>
              <w:rPr>
                <w:b/>
                <w:sz w:val="19"/>
              </w:rPr>
              <w:t>= EBITDA / Order (CM4)</w:t>
            </w:r>
          </w:p>
        </w:tc>
        <w:tc>
          <w:tcPr>
            <w:tcW w:type="dxa" w:w="5040"/>
            <w:shd w:fill="D4EDDA" w:val="clear"/>
          </w:tcPr>
          <w:p>
            <w:pPr>
              <w:keepLines/>
            </w:pPr>
            <w:r>
              <w:rPr>
                <w:b/>
                <w:sz w:val="19"/>
              </w:rPr>
              <w:t>Core per-order profitability metric</w:t>
            </w:r>
          </w:p>
        </w:tc>
      </w:tr>
    </w:tbl>
    <w:p>
      <w:r>
        <w:br w:type="page"/>
      </w:r>
    </w:p>
    <w:p>
      <w:pPr>
        <w:pStyle w:val="Heading1"/>
        <w:keepNext/>
      </w:pPr>
      <w:r>
        <w:t>9. KPI &amp; Explainability Layer</w:t>
      </w:r>
    </w:p>
    <w:p>
      <w:pPr>
        <w:pStyle w:val="Heading2"/>
        <w:keepNext/>
      </w:pPr>
      <w:r>
        <w:t>Full KPI Catalog (21 KPIs)</w:t>
      </w:r>
    </w:p>
    <w:tbl>
      <w:tblPr>
        <w:tblStyle w:val="TableGrid"/>
        <w:tblW w:type="auto" w:w="0"/>
        <w:jc w:val="left"/>
        <w:tblLook w:firstColumn="1" w:firstRow="1" w:lastColumn="0" w:lastRow="0" w:noHBand="0" w:noVBand="1" w:val="04A0"/>
      </w:tblPr>
      <w:tblGrid>
        <w:gridCol w:w="4680"/>
        <w:gridCol w:w="4680"/>
      </w:tblGrid>
      <w:tr>
        <w:tc>
          <w:tcPr>
            <w:tcW w:type="dxa" w:w="2160"/>
            <w:shd w:fill="1B3A6B" w:val="clear"/>
          </w:tcPr>
          <w:p>
            <w:pPr>
              <w:jc w:val="center"/>
              <w:keepLines/>
            </w:pPr>
            <w:r>
              <w:rPr>
                <w:b/>
                <w:color w:val="FFFFFF"/>
                <w:sz w:val="18"/>
              </w:rPr>
              <w:t>Category</w:t>
            </w:r>
          </w:p>
        </w:tc>
        <w:tc>
          <w:tcPr>
            <w:tcW w:type="dxa" w:w="7200"/>
            <w:shd w:fill="1B3A6B" w:val="clear"/>
          </w:tcPr>
          <w:p>
            <w:pPr>
              <w:jc w:val="center"/>
              <w:keepLines/>
            </w:pPr>
            <w:r>
              <w:rPr>
                <w:b/>
                <w:color w:val="FFFFFF"/>
                <w:sz w:val="18"/>
              </w:rPr>
              <w:t>KPIs</w:t>
            </w:r>
          </w:p>
        </w:tc>
      </w:tr>
      <w:tr>
        <w:tc>
          <w:tcPr>
            <w:tcW w:type="dxa" w:w="2160"/>
          </w:tcPr>
          <w:p>
            <w:pPr>
              <w:jc w:val="left"/>
              <w:keepLines/>
            </w:pPr>
            <w:r>
              <w:rPr>
                <w:sz w:val="18"/>
              </w:rPr>
              <w:t>Financial</w:t>
            </w:r>
          </w:p>
        </w:tc>
        <w:tc>
          <w:tcPr>
            <w:tcW w:type="dxa" w:w="7200"/>
          </w:tcPr>
          <w:p>
            <w:pPr>
              <w:jc w:val="left"/>
              <w:keepLines/>
            </w:pPr>
            <w:r>
              <w:rPr>
                <w:sz w:val="18"/>
              </w:rPr>
              <w:t>Revenue, Gross Profit, EBITDA, EBITDA%, Net Income, Net Margin%</w:t>
            </w:r>
          </w:p>
        </w:tc>
      </w:tr>
      <w:tr>
        <w:tc>
          <w:tcPr>
            <w:tcW w:type="dxa" w:w="2160"/>
            <w:shd w:fill="F0F4FA" w:val="clear"/>
          </w:tcPr>
          <w:p>
            <w:pPr>
              <w:jc w:val="left"/>
              <w:keepLines/>
            </w:pPr>
            <w:r>
              <w:rPr>
                <w:sz w:val="18"/>
              </w:rPr>
              <w:t>Liquidity</w:t>
            </w:r>
          </w:p>
        </w:tc>
        <w:tc>
          <w:tcPr>
            <w:tcW w:type="dxa" w:w="7200"/>
            <w:shd w:fill="F0F4FA" w:val="clear"/>
          </w:tcPr>
          <w:p>
            <w:pPr>
              <w:jc w:val="left"/>
              <w:keepLines/>
            </w:pPr>
            <w:r>
              <w:rPr>
                <w:sz w:val="18"/>
              </w:rPr>
              <w:t>Monthly Burn, Cash Runway (months), Cash Trough Month, Min Cash Balance</w:t>
            </w:r>
          </w:p>
        </w:tc>
      </w:tr>
      <w:tr>
        <w:tc>
          <w:tcPr>
            <w:tcW w:type="dxa" w:w="2160"/>
          </w:tcPr>
          <w:p>
            <w:pPr>
              <w:jc w:val="left"/>
              <w:keepLines/>
            </w:pPr>
            <w:r>
              <w:rPr>
                <w:sz w:val="18"/>
              </w:rPr>
              <w:t>Return</w:t>
            </w:r>
          </w:p>
        </w:tc>
        <w:tc>
          <w:tcPr>
            <w:tcW w:type="dxa" w:w="7200"/>
          </w:tcPr>
          <w:p>
            <w:pPr>
              <w:jc w:val="left"/>
              <w:keepLines/>
            </w:pPr>
            <w:r>
              <w:rPr>
                <w:sz w:val="18"/>
              </w:rPr>
              <w:t>IRR, Payback Period, ROIC, NPV, Cash-on-Cash Return</w:t>
            </w:r>
          </w:p>
        </w:tc>
      </w:tr>
      <w:tr>
        <w:tc>
          <w:tcPr>
            <w:tcW w:type="dxa" w:w="2160"/>
            <w:shd w:fill="F0F4FA" w:val="clear"/>
          </w:tcPr>
          <w:p>
            <w:pPr>
              <w:jc w:val="left"/>
              <w:keepLines/>
            </w:pPr>
            <w:r>
              <w:rPr>
                <w:sz w:val="18"/>
              </w:rPr>
              <w:t>Operational</w:t>
            </w:r>
          </w:p>
        </w:tc>
        <w:tc>
          <w:tcPr>
            <w:tcW w:type="dxa" w:w="7200"/>
            <w:shd w:fill="F0F4FA" w:val="clear"/>
          </w:tcPr>
          <w:p>
            <w:pPr>
              <w:jc w:val="left"/>
              <w:keepLines/>
            </w:pPr>
            <w:r>
              <w:rPr>
                <w:sz w:val="18"/>
              </w:rPr>
              <w:t>Orders/Day, AOV, Food Cost%, Labor%, Marketing%, Platform Commission%</w:t>
            </w:r>
          </w:p>
        </w:tc>
      </w:tr>
      <w:tr>
        <w:tc>
          <w:tcPr>
            <w:tcW w:type="dxa" w:w="2160"/>
          </w:tcPr>
          <w:p>
            <w:pPr>
              <w:jc w:val="left"/>
              <w:keepLines/>
            </w:pPr>
            <w:r>
              <w:rPr>
                <w:sz w:val="18"/>
              </w:rPr>
              <w:t>Growth</w:t>
            </w:r>
          </w:p>
        </w:tc>
        <w:tc>
          <w:tcPr>
            <w:tcW w:type="dxa" w:w="7200"/>
          </w:tcPr>
          <w:p>
            <w:pPr>
              <w:jc w:val="left"/>
              <w:keepLines/>
            </w:pPr>
            <w:r>
              <w:rPr>
                <w:sz w:val="18"/>
              </w:rPr>
              <w:t>Revenue Growth MoM, EBITDA Margin Expansion, CAC Trend, Penetration Rate%</w:t>
            </w:r>
          </w:p>
        </w:tc>
      </w:tr>
    </w:tbl>
    <w:p/>
    <w:p>
      <w:pPr>
        <w:pStyle w:val="Heading2"/>
        <w:keepNext/>
      </w:pPr>
      <w:r>
        <w:t>Alert &amp; Trigger Rules</w:t>
      </w:r>
    </w:p>
    <w:tbl>
      <w:tblPr>
        <w:tblStyle w:val="TableGrid"/>
        <w:tblW w:type="auto" w:w="0"/>
        <w:jc w:val="left"/>
        <w:tblLook w:firstColumn="1" w:firstRow="1" w:lastColumn="0" w:lastRow="0" w:noHBand="0" w:noVBand="1" w:val="04A0"/>
      </w:tblPr>
      <w:tblGrid>
        <w:gridCol w:w="3120"/>
        <w:gridCol w:w="3120"/>
        <w:gridCol w:w="3120"/>
      </w:tblGrid>
      <w:tr>
        <w:tc>
          <w:tcPr>
            <w:tcW w:type="dxa" w:w="3600"/>
            <w:shd w:fill="1B3A6B" w:val="clear"/>
          </w:tcPr>
          <w:p>
            <w:pPr>
              <w:jc w:val="center"/>
              <w:keepLines/>
            </w:pPr>
            <w:r>
              <w:rPr>
                <w:b/>
                <w:color w:val="FFFFFF"/>
                <w:sz w:val="18"/>
              </w:rPr>
              <w:t>Trigger</w:t>
            </w:r>
          </w:p>
        </w:tc>
        <w:tc>
          <w:tcPr>
            <w:tcW w:type="dxa" w:w="3600"/>
            <w:shd w:fill="1B3A6B" w:val="clear"/>
          </w:tcPr>
          <w:p>
            <w:pPr>
              <w:jc w:val="center"/>
              <w:keepLines/>
            </w:pPr>
            <w:r>
              <w:rPr>
                <w:b/>
                <w:color w:val="FFFFFF"/>
                <w:sz w:val="18"/>
              </w:rPr>
              <w:t>Threshold</w:t>
            </w:r>
          </w:p>
        </w:tc>
        <w:tc>
          <w:tcPr>
            <w:tcW w:type="dxa" w:w="2160"/>
            <w:shd w:fill="1B3A6B" w:val="clear"/>
          </w:tcPr>
          <w:p>
            <w:pPr>
              <w:jc w:val="center"/>
              <w:keepLines/>
            </w:pPr>
            <w:r>
              <w:rPr>
                <w:b/>
                <w:color w:val="FFFFFF"/>
                <w:sz w:val="18"/>
              </w:rPr>
              <w:t>Severity</w:t>
            </w:r>
          </w:p>
        </w:tc>
      </w:tr>
      <w:tr>
        <w:tc>
          <w:tcPr>
            <w:tcW w:type="dxa" w:w="3600"/>
          </w:tcPr>
          <w:p>
            <w:pPr>
              <w:jc w:val="left"/>
              <w:keepLines/>
            </w:pPr>
            <w:r>
              <w:rPr>
                <w:sz w:val="18"/>
              </w:rPr>
              <w:t>Cash Runway</w:t>
            </w:r>
          </w:p>
        </w:tc>
        <w:tc>
          <w:tcPr>
            <w:tcW w:type="dxa" w:w="3600"/>
          </w:tcPr>
          <w:p>
            <w:pPr>
              <w:jc w:val="left"/>
              <w:keepLines/>
            </w:pPr>
            <w:r>
              <w:rPr>
                <w:sz w:val="18"/>
              </w:rPr>
              <w:t>&lt; 4 months</w:t>
            </w:r>
          </w:p>
        </w:tc>
        <w:tc>
          <w:tcPr>
            <w:tcW w:type="dxa" w:w="2160"/>
          </w:tcPr>
          <w:p>
            <w:pPr>
              <w:jc w:val="left"/>
              <w:keepLines/>
            </w:pPr>
            <w:r>
              <w:rPr>
                <w:sz w:val="18"/>
              </w:rPr>
              <w:t>CRITICAL</w:t>
            </w:r>
          </w:p>
        </w:tc>
      </w:tr>
      <w:tr>
        <w:tc>
          <w:tcPr>
            <w:tcW w:type="dxa" w:w="3600"/>
            <w:shd w:fill="F0F4FA" w:val="clear"/>
          </w:tcPr>
          <w:p>
            <w:pPr>
              <w:jc w:val="left"/>
              <w:keepLines/>
            </w:pPr>
            <w:r>
              <w:rPr>
                <w:sz w:val="18"/>
              </w:rPr>
              <w:t>EBITDA Margin</w:t>
            </w:r>
          </w:p>
        </w:tc>
        <w:tc>
          <w:tcPr>
            <w:tcW w:type="dxa" w:w="3600"/>
            <w:shd w:fill="F0F4FA" w:val="clear"/>
          </w:tcPr>
          <w:p>
            <w:pPr>
              <w:jc w:val="left"/>
              <w:keepLines/>
            </w:pPr>
            <w:r>
              <w:rPr>
                <w:sz w:val="18"/>
              </w:rPr>
              <w:t>&lt; -20% for 3 consecutive months</w:t>
            </w:r>
          </w:p>
        </w:tc>
        <w:tc>
          <w:tcPr>
            <w:tcW w:type="dxa" w:w="2160"/>
            <w:shd w:fill="F0F4FA" w:val="clear"/>
          </w:tcPr>
          <w:p>
            <w:pPr>
              <w:jc w:val="left"/>
              <w:keepLines/>
            </w:pPr>
            <w:r>
              <w:rPr>
                <w:sz w:val="18"/>
              </w:rPr>
              <w:t>WARNING</w:t>
            </w:r>
          </w:p>
        </w:tc>
      </w:tr>
      <w:tr>
        <w:tc>
          <w:tcPr>
            <w:tcW w:type="dxa" w:w="3600"/>
          </w:tcPr>
          <w:p>
            <w:pPr>
              <w:jc w:val="left"/>
              <w:keepLines/>
            </w:pPr>
            <w:r>
              <w:rPr>
                <w:sz w:val="18"/>
              </w:rPr>
              <w:t>Food Cost %</w:t>
            </w:r>
          </w:p>
        </w:tc>
        <w:tc>
          <w:tcPr>
            <w:tcW w:type="dxa" w:w="3600"/>
          </w:tcPr>
          <w:p>
            <w:pPr>
              <w:jc w:val="left"/>
              <w:keepLines/>
            </w:pPr>
            <w:r>
              <w:rPr>
                <w:sz w:val="18"/>
              </w:rPr>
              <w:t>&gt; 35%</w:t>
            </w:r>
          </w:p>
        </w:tc>
        <w:tc>
          <w:tcPr>
            <w:tcW w:type="dxa" w:w="2160"/>
          </w:tcPr>
          <w:p>
            <w:pPr>
              <w:jc w:val="left"/>
              <w:keepLines/>
            </w:pPr>
            <w:r>
              <w:rPr>
                <w:sz w:val="18"/>
              </w:rPr>
              <w:t>WARNING</w:t>
            </w:r>
          </w:p>
        </w:tc>
      </w:tr>
      <w:tr>
        <w:tc>
          <w:tcPr>
            <w:tcW w:type="dxa" w:w="3600"/>
            <w:shd w:fill="F0F4FA" w:val="clear"/>
          </w:tcPr>
          <w:p>
            <w:pPr>
              <w:jc w:val="left"/>
              <w:keepLines/>
            </w:pPr>
            <w:r>
              <w:rPr>
                <w:sz w:val="18"/>
              </w:rPr>
              <w:t>Labor %</w:t>
            </w:r>
          </w:p>
        </w:tc>
        <w:tc>
          <w:tcPr>
            <w:tcW w:type="dxa" w:w="3600"/>
            <w:shd w:fill="F0F4FA" w:val="clear"/>
          </w:tcPr>
          <w:p>
            <w:pPr>
              <w:jc w:val="left"/>
              <w:keepLines/>
            </w:pPr>
            <w:r>
              <w:rPr>
                <w:sz w:val="18"/>
              </w:rPr>
              <w:t>&gt; 30%</w:t>
            </w:r>
          </w:p>
        </w:tc>
        <w:tc>
          <w:tcPr>
            <w:tcW w:type="dxa" w:w="2160"/>
            <w:shd w:fill="F0F4FA" w:val="clear"/>
          </w:tcPr>
          <w:p>
            <w:pPr>
              <w:jc w:val="left"/>
              <w:keepLines/>
            </w:pPr>
            <w:r>
              <w:rPr>
                <w:sz w:val="18"/>
              </w:rPr>
              <w:t>WARNING</w:t>
            </w:r>
          </w:p>
        </w:tc>
      </w:tr>
      <w:tr>
        <w:tc>
          <w:tcPr>
            <w:tcW w:type="dxa" w:w="3600"/>
          </w:tcPr>
          <w:p>
            <w:pPr>
              <w:jc w:val="left"/>
              <w:keepLines/>
            </w:pPr>
            <w:r>
              <w:rPr>
                <w:sz w:val="18"/>
              </w:rPr>
              <w:t>Kitchen Utilization</w:t>
            </w:r>
          </w:p>
        </w:tc>
        <w:tc>
          <w:tcPr>
            <w:tcW w:type="dxa" w:w="3600"/>
          </w:tcPr>
          <w:p>
            <w:pPr>
              <w:jc w:val="left"/>
              <w:keepLines/>
            </w:pPr>
            <w:r>
              <w:rPr>
                <w:sz w:val="18"/>
              </w:rPr>
              <w:t>&gt; 85%</w:t>
            </w:r>
          </w:p>
        </w:tc>
        <w:tc>
          <w:tcPr>
            <w:tcW w:type="dxa" w:w="2160"/>
          </w:tcPr>
          <w:p>
            <w:pPr>
              <w:jc w:val="left"/>
              <w:keepLines/>
            </w:pPr>
            <w:r>
              <w:rPr>
                <w:sz w:val="18"/>
              </w:rPr>
              <w:t>ACTION</w:t>
            </w:r>
          </w:p>
        </w:tc>
      </w:tr>
      <w:tr>
        <w:tc>
          <w:tcPr>
            <w:tcW w:type="dxa" w:w="3600"/>
            <w:shd w:fill="F0F4FA" w:val="clear"/>
          </w:tcPr>
          <w:p>
            <w:pPr>
              <w:jc w:val="left"/>
              <w:keepLines/>
            </w:pPr>
            <w:r>
              <w:rPr>
                <w:sz w:val="18"/>
              </w:rPr>
              <w:t>CAC Trend</w:t>
            </w:r>
          </w:p>
        </w:tc>
        <w:tc>
          <w:tcPr>
            <w:tcW w:type="dxa" w:w="3600"/>
            <w:shd w:fill="F0F4FA" w:val="clear"/>
          </w:tcPr>
          <w:p>
            <w:pPr>
              <w:jc w:val="left"/>
              <w:keepLines/>
            </w:pPr>
            <w:r>
              <w:rPr>
                <w:sz w:val="18"/>
              </w:rPr>
              <w:t>Rising for 3+ consecutive months</w:t>
            </w:r>
          </w:p>
        </w:tc>
        <w:tc>
          <w:tcPr>
            <w:tcW w:type="dxa" w:w="2160"/>
            <w:shd w:fill="F0F4FA" w:val="clear"/>
          </w:tcPr>
          <w:p>
            <w:pPr>
              <w:jc w:val="left"/>
              <w:keepLines/>
            </w:pPr>
            <w:r>
              <w:rPr>
                <w:sz w:val="18"/>
              </w:rPr>
              <w:t>REVIEW</w:t>
            </w:r>
          </w:p>
        </w:tc>
      </w:tr>
    </w:tbl>
    <w:p/>
    <w:p>
      <w:pPr>
        <w:pStyle w:val="Heading2"/>
        <w:keepNext/>
      </w:pPr>
      <w:r>
        <w:t>Driver Explainability Framework</w:t>
      </w:r>
    </w:p>
    <w:p>
      <w:pPr>
        <w:spacing w:before="0" w:after="80"/>
        <w:jc w:val="left"/>
        <w:keepNext/>
      </w:pPr>
      <w:r>
        <w:rPr>
          <w:b/>
          <w:i w:val="0"/>
          <w:color w:val="1B3A6B"/>
          <w:sz w:val="20"/>
        </w:rPr>
        <w:t>Revenue Bridge</w:t>
      </w:r>
    </w:p>
    <w:p>
      <w:pPr>
        <w:spacing w:after="40"/>
        <w:ind w:left="432"/>
      </w:pPr>
      <w:r>
        <w:rPr>
          <w:b w:val="0"/>
          <w:sz w:val="20"/>
        </w:rPr>
        <w:t>Prior Period Revenue</w:t>
      </w:r>
    </w:p>
    <w:p>
      <w:pPr>
        <w:spacing w:after="40"/>
        <w:ind w:left="432"/>
      </w:pPr>
      <w:r>
        <w:rPr>
          <w:b w:val="0"/>
          <w:sz w:val="20"/>
        </w:rPr>
        <w:t>+ Volume Effect (orders growth)</w:t>
      </w:r>
    </w:p>
    <w:p>
      <w:pPr>
        <w:spacing w:after="40"/>
        <w:ind w:left="432"/>
      </w:pPr>
      <w:r>
        <w:rPr>
          <w:b w:val="0"/>
          <w:sz w:val="20"/>
        </w:rPr>
        <w:t>+ Price Effect (ASP change)</w:t>
      </w:r>
    </w:p>
    <w:p>
      <w:pPr>
        <w:spacing w:after="40"/>
        <w:ind w:left="432"/>
      </w:pPr>
      <w:r>
        <w:rPr>
          <w:b w:val="0"/>
          <w:sz w:val="20"/>
        </w:rPr>
        <w:t>+ Mix Effect (product/platform shift)</w:t>
      </w:r>
    </w:p>
    <w:p>
      <w:pPr>
        <w:spacing w:after="40"/>
        <w:ind w:left="432"/>
      </w:pPr>
      <w:r>
        <w:rPr>
          <w:b w:val="0"/>
          <w:sz w:val="20"/>
        </w:rPr>
        <w:t>+ New Product Contribution</w:t>
      </w:r>
    </w:p>
    <w:p>
      <w:pPr>
        <w:spacing w:after="40"/>
        <w:ind w:left="432"/>
      </w:pPr>
      <w:r>
        <w:rPr>
          <w:b w:val="0"/>
          <w:sz w:val="20"/>
        </w:rPr>
        <w:t>+ New Micro / New Macro Contribution</w:t>
      </w:r>
    </w:p>
    <w:p>
      <w:pPr>
        <w:spacing w:after="40"/>
        <w:ind w:left="432"/>
      </w:pPr>
      <w:r>
        <w:rPr>
          <w:b/>
          <w:sz w:val="20"/>
        </w:rPr>
        <w:t>= Current Period Revenue</w:t>
      </w:r>
    </w:p>
    <w:p/>
    <w:p>
      <w:pPr>
        <w:spacing w:before="0" w:after="80"/>
        <w:jc w:val="left"/>
        <w:keepNext/>
      </w:pPr>
      <w:r>
        <w:rPr>
          <w:b/>
          <w:i w:val="0"/>
          <w:color w:val="1B3A6B"/>
          <w:sz w:val="20"/>
        </w:rPr>
        <w:t>EBITDA Bridge</w:t>
      </w:r>
    </w:p>
    <w:p>
      <w:pPr>
        <w:spacing w:after="40"/>
        <w:ind w:left="432"/>
      </w:pPr>
      <w:r>
        <w:rPr>
          <w:b w:val="0"/>
          <w:sz w:val="20"/>
        </w:rPr>
        <w:t>Prior Period EBITDA</w:t>
      </w:r>
    </w:p>
    <w:p>
      <w:pPr>
        <w:spacing w:after="40"/>
        <w:ind w:left="432"/>
      </w:pPr>
      <w:r>
        <w:rPr>
          <w:b w:val="0"/>
          <w:sz w:val="20"/>
        </w:rPr>
        <w:t>+ Revenue Change Impact</w:t>
      </w:r>
    </w:p>
    <w:p>
      <w:pPr>
        <w:spacing w:after="40"/>
        <w:ind w:left="432"/>
      </w:pPr>
      <w:r>
        <w:rPr>
          <w:b w:val="0"/>
          <w:sz w:val="20"/>
        </w:rPr>
        <w:t>- COGS Change (volume + ingredient cost)</w:t>
      </w:r>
    </w:p>
    <w:p>
      <w:pPr>
        <w:spacing w:after="40"/>
        <w:ind w:left="432"/>
      </w:pPr>
      <w:r>
        <w:rPr>
          <w:b w:val="0"/>
          <w:sz w:val="20"/>
        </w:rPr>
        <w:t>- Labor Change (hiring + wages)</w:t>
      </w:r>
    </w:p>
    <w:p>
      <w:pPr>
        <w:spacing w:after="40"/>
        <w:ind w:left="432"/>
      </w:pPr>
      <w:r>
        <w:rPr>
          <w:b w:val="0"/>
          <w:sz w:val="20"/>
        </w:rPr>
        <w:t>- Marketing Change (spend vs. CAC efficiency)</w:t>
      </w:r>
    </w:p>
    <w:p>
      <w:pPr>
        <w:spacing w:after="40"/>
        <w:ind w:left="432"/>
      </w:pPr>
      <w:r>
        <w:rPr>
          <w:b w:val="0"/>
          <w:sz w:val="20"/>
        </w:rPr>
        <w:t>- Rent &amp; Utilities Change</w:t>
      </w:r>
    </w:p>
    <w:p>
      <w:pPr>
        <w:spacing w:after="40"/>
        <w:ind w:left="432"/>
      </w:pPr>
      <w:r>
        <w:rPr>
          <w:b w:val="0"/>
          <w:sz w:val="20"/>
        </w:rPr>
        <w:t>- Platform Commission Change</w:t>
      </w:r>
    </w:p>
    <w:p>
      <w:pPr>
        <w:spacing w:after="40"/>
        <w:ind w:left="432"/>
      </w:pPr>
      <w:r>
        <w:rPr>
          <w:b/>
          <w:sz w:val="20"/>
        </w:rPr>
        <w:t>= Current Period EBITDA</w:t>
      </w:r>
    </w:p>
    <w:p>
      <w:r>
        <w:br w:type="page"/>
      </w:r>
    </w:p>
    <w:p>
      <w:pPr>
        <w:pStyle w:val="Heading1"/>
        <w:keepNext/>
      </w:pPr>
      <w:r>
        <w:t>10. Risk &amp; Uncertainty Framework</w:t>
      </w:r>
    </w:p>
    <w:p>
      <w:pPr>
        <w:pStyle w:val="Heading2"/>
        <w:keepNext/>
      </w:pPr>
      <w:r>
        <w:t>Risk Object Structure</w:t>
      </w:r>
    </w:p>
    <w:p>
      <w:pPr>
        <w:spacing w:before="0" w:after="80"/>
        <w:jc w:val="left"/>
        <w:keepLines/>
      </w:pPr>
      <w:r>
        <w:rPr>
          <w:b w:val="0"/>
          <w:i w:val="0"/>
          <w:sz w:val="20"/>
        </w:rPr>
        <w:t>Each risk object carries: RiskID | Category | Name | Probability (%) | ImpactSeverity (1-5) | P&amp;L Impact (AED) | Mitigation Action | Owner | ReviewDate</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28"/>
            <w:shd w:fill="1B3A6B" w:val="clear"/>
          </w:tcPr>
          <w:p>
            <w:pPr>
              <w:jc w:val="center"/>
              <w:keepLines/>
            </w:pPr>
            <w:r>
              <w:rPr>
                <w:b/>
                <w:color w:val="FFFFFF"/>
                <w:sz w:val="17"/>
              </w:rPr>
              <w:t>Risk Category</w:t>
            </w:r>
          </w:p>
        </w:tc>
        <w:tc>
          <w:tcPr>
            <w:tcW w:type="dxa" w:w="2736"/>
            <w:shd w:fill="1B3A6B" w:val="clear"/>
          </w:tcPr>
          <w:p>
            <w:pPr>
              <w:jc w:val="center"/>
              <w:keepLines/>
            </w:pPr>
            <w:r>
              <w:rPr>
                <w:b/>
                <w:color w:val="FFFFFF"/>
                <w:sz w:val="17"/>
              </w:rPr>
              <w:t>Key Risk Events</w:t>
            </w:r>
          </w:p>
        </w:tc>
        <w:tc>
          <w:tcPr>
            <w:tcW w:type="dxa" w:w="1296"/>
            <w:shd w:fill="1B3A6B" w:val="clear"/>
          </w:tcPr>
          <w:p>
            <w:pPr>
              <w:jc w:val="center"/>
              <w:keepLines/>
            </w:pPr>
            <w:r>
              <w:rPr>
                <w:b/>
                <w:color w:val="FFFFFF"/>
                <w:sz w:val="17"/>
              </w:rPr>
              <w:t>Probability</w:t>
            </w:r>
          </w:p>
        </w:tc>
        <w:tc>
          <w:tcPr>
            <w:tcW w:type="dxa" w:w="1296"/>
            <w:shd w:fill="1B3A6B" w:val="clear"/>
          </w:tcPr>
          <w:p>
            <w:pPr>
              <w:jc w:val="center"/>
              <w:keepLines/>
            </w:pPr>
            <w:r>
              <w:rPr>
                <w:b/>
                <w:color w:val="FFFFFF"/>
                <w:sz w:val="17"/>
              </w:rPr>
              <w:t>EBITDA Impact</w:t>
            </w:r>
          </w:p>
        </w:tc>
        <w:tc>
          <w:tcPr>
            <w:tcW w:type="dxa" w:w="2304"/>
            <w:shd w:fill="1B3A6B" w:val="clear"/>
          </w:tcPr>
          <w:p>
            <w:pPr>
              <w:jc w:val="center"/>
              <w:keepLines/>
            </w:pPr>
            <w:r>
              <w:rPr>
                <w:b/>
                <w:color w:val="FFFFFF"/>
                <w:sz w:val="17"/>
              </w:rPr>
              <w:t>Mitigation</w:t>
            </w:r>
          </w:p>
        </w:tc>
      </w:tr>
      <w:tr>
        <w:tc>
          <w:tcPr>
            <w:tcW w:type="dxa" w:w="1728"/>
          </w:tcPr>
          <w:p>
            <w:pPr>
              <w:jc w:val="left"/>
              <w:keepLines/>
            </w:pPr>
            <w:r>
              <w:rPr>
                <w:sz w:val="17"/>
              </w:rPr>
              <w:t>Market Risk</w:t>
            </w:r>
          </w:p>
        </w:tc>
        <w:tc>
          <w:tcPr>
            <w:tcW w:type="dxa" w:w="2736"/>
          </w:tcPr>
          <w:p>
            <w:pPr>
              <w:jc w:val="left"/>
              <w:keepLines/>
            </w:pPr>
            <w:r>
              <w:rPr>
                <w:sz w:val="17"/>
              </w:rPr>
              <w:t>Demand shortfall (-20%), competitive kitchen opens in micro, market recession</w:t>
            </w:r>
          </w:p>
        </w:tc>
        <w:tc>
          <w:tcPr>
            <w:tcW w:type="dxa" w:w="1296"/>
          </w:tcPr>
          <w:p>
            <w:pPr>
              <w:jc w:val="left"/>
              <w:keepLines/>
            </w:pPr>
            <w:r>
              <w:rPr>
                <w:sz w:val="17"/>
              </w:rPr>
              <w:t>Medium</w:t>
            </w:r>
          </w:p>
        </w:tc>
        <w:tc>
          <w:tcPr>
            <w:tcW w:type="dxa" w:w="1296"/>
          </w:tcPr>
          <w:p>
            <w:pPr>
              <w:jc w:val="left"/>
              <w:keepLines/>
            </w:pPr>
            <w:r>
              <w:rPr>
                <w:sz w:val="17"/>
              </w:rPr>
              <w:t>-15% to -35%</w:t>
            </w:r>
          </w:p>
        </w:tc>
        <w:tc>
          <w:tcPr>
            <w:tcW w:type="dxa" w:w="2304"/>
          </w:tcPr>
          <w:p>
            <w:pPr>
              <w:jc w:val="left"/>
              <w:keepLines/>
            </w:pPr>
            <w:r>
              <w:rPr>
                <w:sz w:val="17"/>
              </w:rPr>
              <w:t>Micro diversification, pricing flexibility, promo reserves</w:t>
            </w:r>
          </w:p>
        </w:tc>
      </w:tr>
      <w:tr>
        <w:tc>
          <w:tcPr>
            <w:tcW w:type="dxa" w:w="1728"/>
            <w:shd w:fill="F0F4FA" w:val="clear"/>
          </w:tcPr>
          <w:p>
            <w:pPr>
              <w:jc w:val="left"/>
              <w:keepLines/>
            </w:pPr>
            <w:r>
              <w:rPr>
                <w:sz w:val="17"/>
              </w:rPr>
              <w:t>Platform Risk</w:t>
            </w:r>
          </w:p>
        </w:tc>
        <w:tc>
          <w:tcPr>
            <w:tcW w:type="dxa" w:w="2736"/>
            <w:shd w:fill="F0F4FA" w:val="clear"/>
          </w:tcPr>
          <w:p>
            <w:pPr>
              <w:jc w:val="left"/>
              <w:keepLines/>
            </w:pPr>
            <w:r>
              <w:rPr>
                <w:sz w:val="17"/>
              </w:rPr>
              <w:t>Commission hike (+5%), ranking algorithm change, platform exits market</w:t>
            </w:r>
          </w:p>
        </w:tc>
        <w:tc>
          <w:tcPr>
            <w:tcW w:type="dxa" w:w="1296"/>
            <w:shd w:fill="F0F4FA" w:val="clear"/>
          </w:tcPr>
          <w:p>
            <w:pPr>
              <w:jc w:val="left"/>
              <w:keepLines/>
            </w:pPr>
            <w:r>
              <w:rPr>
                <w:sz w:val="17"/>
              </w:rPr>
              <w:t>Medium-High</w:t>
            </w:r>
          </w:p>
        </w:tc>
        <w:tc>
          <w:tcPr>
            <w:tcW w:type="dxa" w:w="1296"/>
            <w:shd w:fill="F0F4FA" w:val="clear"/>
          </w:tcPr>
          <w:p>
            <w:pPr>
              <w:jc w:val="left"/>
              <w:keepLines/>
            </w:pPr>
            <w:r>
              <w:rPr>
                <w:sz w:val="17"/>
              </w:rPr>
              <w:t>-10% to -25%</w:t>
            </w:r>
          </w:p>
        </w:tc>
        <w:tc>
          <w:tcPr>
            <w:tcW w:type="dxa" w:w="2304"/>
            <w:shd w:fill="F0F4FA" w:val="clear"/>
          </w:tcPr>
          <w:p>
            <w:pPr>
              <w:jc w:val="left"/>
              <w:keepLines/>
            </w:pPr>
            <w:r>
              <w:rPr>
                <w:sz w:val="17"/>
              </w:rPr>
              <w:t>Multi-platform presence, own-channel development</w:t>
            </w:r>
          </w:p>
        </w:tc>
      </w:tr>
      <w:tr>
        <w:tc>
          <w:tcPr>
            <w:tcW w:type="dxa" w:w="1728"/>
          </w:tcPr>
          <w:p>
            <w:pPr>
              <w:jc w:val="left"/>
              <w:keepLines/>
            </w:pPr>
            <w:r>
              <w:rPr>
                <w:sz w:val="17"/>
              </w:rPr>
              <w:t>Input Cost Risk</w:t>
            </w:r>
          </w:p>
        </w:tc>
        <w:tc>
          <w:tcPr>
            <w:tcW w:type="dxa" w:w="2736"/>
          </w:tcPr>
          <w:p>
            <w:pPr>
              <w:jc w:val="left"/>
              <w:keepLines/>
            </w:pPr>
            <w:r>
              <w:rPr>
                <w:sz w:val="17"/>
              </w:rPr>
              <w:t>Cheese/flour price spike (+30%), packaging cost rise, supply disruption</w:t>
            </w:r>
          </w:p>
        </w:tc>
        <w:tc>
          <w:tcPr>
            <w:tcW w:type="dxa" w:w="1296"/>
          </w:tcPr>
          <w:p>
            <w:pPr>
              <w:jc w:val="left"/>
              <w:keepLines/>
            </w:pPr>
            <w:r>
              <w:rPr>
                <w:sz w:val="17"/>
              </w:rPr>
              <w:t>Medium</w:t>
            </w:r>
          </w:p>
        </w:tc>
        <w:tc>
          <w:tcPr>
            <w:tcW w:type="dxa" w:w="1296"/>
          </w:tcPr>
          <w:p>
            <w:pPr>
              <w:jc w:val="left"/>
              <w:keepLines/>
            </w:pPr>
            <w:r>
              <w:rPr>
                <w:sz w:val="17"/>
              </w:rPr>
              <w:t>-5% to -15%</w:t>
            </w:r>
          </w:p>
        </w:tc>
        <w:tc>
          <w:tcPr>
            <w:tcW w:type="dxa" w:w="2304"/>
          </w:tcPr>
          <w:p>
            <w:pPr>
              <w:jc w:val="left"/>
              <w:keepLines/>
            </w:pPr>
            <w:r>
              <w:rPr>
                <w:sz w:val="17"/>
              </w:rPr>
              <w:t>Supplier contracts, ingredient substitution plan, hedging</w:t>
            </w:r>
          </w:p>
        </w:tc>
      </w:tr>
      <w:tr>
        <w:tc>
          <w:tcPr>
            <w:tcW w:type="dxa" w:w="1728"/>
            <w:shd w:fill="F0F4FA" w:val="clear"/>
          </w:tcPr>
          <w:p>
            <w:pPr>
              <w:jc w:val="left"/>
              <w:keepLines/>
            </w:pPr>
            <w:r>
              <w:rPr>
                <w:sz w:val="17"/>
              </w:rPr>
              <w:t>Labor Risk</w:t>
            </w:r>
          </w:p>
        </w:tc>
        <w:tc>
          <w:tcPr>
            <w:tcW w:type="dxa" w:w="2736"/>
            <w:shd w:fill="F0F4FA" w:val="clear"/>
          </w:tcPr>
          <w:p>
            <w:pPr>
              <w:jc w:val="left"/>
              <w:keepLines/>
            </w:pPr>
            <w:r>
              <w:rPr>
                <w:sz w:val="17"/>
              </w:rPr>
              <w:t>Wage inflation (+15%), turnover spike, visa quota restrictions (GCC)</w:t>
            </w:r>
          </w:p>
        </w:tc>
        <w:tc>
          <w:tcPr>
            <w:tcW w:type="dxa" w:w="1296"/>
            <w:shd w:fill="F0F4FA" w:val="clear"/>
          </w:tcPr>
          <w:p>
            <w:pPr>
              <w:jc w:val="left"/>
              <w:keepLines/>
            </w:pPr>
            <w:r>
              <w:rPr>
                <w:sz w:val="17"/>
              </w:rPr>
              <w:t>Medium</w:t>
            </w:r>
          </w:p>
        </w:tc>
        <w:tc>
          <w:tcPr>
            <w:tcW w:type="dxa" w:w="1296"/>
            <w:shd w:fill="F0F4FA" w:val="clear"/>
          </w:tcPr>
          <w:p>
            <w:pPr>
              <w:jc w:val="left"/>
              <w:keepLines/>
            </w:pPr>
            <w:r>
              <w:rPr>
                <w:sz w:val="17"/>
              </w:rPr>
              <w:t>-8% to -18%</w:t>
            </w:r>
          </w:p>
        </w:tc>
        <w:tc>
          <w:tcPr>
            <w:tcW w:type="dxa" w:w="2304"/>
            <w:shd w:fill="F0F4FA" w:val="clear"/>
          </w:tcPr>
          <w:p>
            <w:pPr>
              <w:jc w:val="left"/>
              <w:keepLines/>
            </w:pPr>
            <w:r>
              <w:rPr>
                <w:sz w:val="17"/>
              </w:rPr>
              <w:t>Retention programs, multi-skill training, contractor pools</w:t>
            </w:r>
          </w:p>
        </w:tc>
      </w:tr>
      <w:tr>
        <w:tc>
          <w:tcPr>
            <w:tcW w:type="dxa" w:w="1728"/>
          </w:tcPr>
          <w:p>
            <w:pPr>
              <w:jc w:val="left"/>
              <w:keepLines/>
            </w:pPr>
            <w:r>
              <w:rPr>
                <w:sz w:val="17"/>
              </w:rPr>
              <w:t>Expansion Risk</w:t>
            </w:r>
          </w:p>
        </w:tc>
        <w:tc>
          <w:tcPr>
            <w:tcW w:type="dxa" w:w="2736"/>
          </w:tcPr>
          <w:p>
            <w:pPr>
              <w:jc w:val="left"/>
              <w:keepLines/>
            </w:pPr>
            <w:r>
              <w:rPr>
                <w:sz w:val="17"/>
              </w:rPr>
              <w:t>Kitchen setup delay (+8 weeks), capex overrun (+20%), licensing delay</w:t>
            </w:r>
          </w:p>
        </w:tc>
        <w:tc>
          <w:tcPr>
            <w:tcW w:type="dxa" w:w="1296"/>
          </w:tcPr>
          <w:p>
            <w:pPr>
              <w:jc w:val="left"/>
              <w:keepLines/>
            </w:pPr>
            <w:r>
              <w:rPr>
                <w:sz w:val="17"/>
              </w:rPr>
              <w:t>Medium-High</w:t>
            </w:r>
          </w:p>
        </w:tc>
        <w:tc>
          <w:tcPr>
            <w:tcW w:type="dxa" w:w="1296"/>
          </w:tcPr>
          <w:p>
            <w:pPr>
              <w:jc w:val="left"/>
              <w:keepLines/>
            </w:pPr>
            <w:r>
              <w:rPr>
                <w:sz w:val="17"/>
              </w:rPr>
              <w:t>Revenue delay</w:t>
            </w:r>
          </w:p>
        </w:tc>
        <w:tc>
          <w:tcPr>
            <w:tcW w:type="dxa" w:w="2304"/>
          </w:tcPr>
          <w:p>
            <w:pPr>
              <w:jc w:val="left"/>
              <w:keepLines/>
            </w:pPr>
            <w:r>
              <w:rPr>
                <w:sz w:val="17"/>
              </w:rPr>
              <w:t>Buffer timelines, approved vendor list, pre-secured locations</w:t>
            </w:r>
          </w:p>
        </w:tc>
      </w:tr>
      <w:tr>
        <w:tc>
          <w:tcPr>
            <w:tcW w:type="dxa" w:w="1728"/>
            <w:shd w:fill="F0F4FA" w:val="clear"/>
          </w:tcPr>
          <w:p>
            <w:pPr>
              <w:jc w:val="left"/>
              <w:keepLines/>
            </w:pPr>
            <w:r>
              <w:rPr>
                <w:sz w:val="17"/>
              </w:rPr>
              <w:t>Funding Risk</w:t>
            </w:r>
          </w:p>
        </w:tc>
        <w:tc>
          <w:tcPr>
            <w:tcW w:type="dxa" w:w="2736"/>
            <w:shd w:fill="F0F4FA" w:val="clear"/>
          </w:tcPr>
          <w:p>
            <w:pPr>
              <w:jc w:val="left"/>
              <w:keepLines/>
            </w:pPr>
            <w:r>
              <w:rPr>
                <w:sz w:val="17"/>
              </w:rPr>
              <w:t>Raise fails or delayed, covenant breach, cash trough earlier than modeled</w:t>
            </w:r>
          </w:p>
        </w:tc>
        <w:tc>
          <w:tcPr>
            <w:tcW w:type="dxa" w:w="1296"/>
            <w:shd w:fill="F0F4FA" w:val="clear"/>
          </w:tcPr>
          <w:p>
            <w:pPr>
              <w:jc w:val="left"/>
              <w:keepLines/>
            </w:pPr>
            <w:r>
              <w:rPr>
                <w:sz w:val="17"/>
              </w:rPr>
              <w:t>Low-Medium</w:t>
            </w:r>
          </w:p>
        </w:tc>
        <w:tc>
          <w:tcPr>
            <w:tcW w:type="dxa" w:w="1296"/>
            <w:shd w:fill="F0F4FA" w:val="clear"/>
          </w:tcPr>
          <w:p>
            <w:pPr>
              <w:jc w:val="left"/>
              <w:keepLines/>
            </w:pPr>
            <w:r>
              <w:rPr>
                <w:sz w:val="17"/>
              </w:rPr>
              <w:t>Existential if severe</w:t>
            </w:r>
          </w:p>
        </w:tc>
        <w:tc>
          <w:tcPr>
            <w:tcW w:type="dxa" w:w="2304"/>
            <w:shd w:fill="F0F4FA" w:val="clear"/>
          </w:tcPr>
          <w:p>
            <w:pPr>
              <w:jc w:val="left"/>
              <w:keepLines/>
            </w:pPr>
            <w:r>
              <w:rPr>
                <w:sz w:val="17"/>
              </w:rPr>
              <w:t>Latest Safe Raise Month alerts, reserve tranches, bridge facility</w:t>
            </w:r>
          </w:p>
        </w:tc>
      </w:tr>
    </w:tbl>
    <w:p/>
    <w:p>
      <w:pPr>
        <w:pStyle w:val="Heading2"/>
        <w:keepNext/>
      </w:pPr>
      <w:r>
        <w:t>Sensitivity Analysis</w:t>
      </w:r>
    </w:p>
    <w:p>
      <w:pPr>
        <w:pStyle w:val="ListBullet"/>
        <w:spacing w:after="40"/>
        <w:ind w:left="360"/>
      </w:pPr>
      <w:r>
        <w:rPr>
          <w:b w:val="0"/>
          <w:sz w:val="20"/>
        </w:rPr>
        <w:t>Tornado Chart: For each output KPI, rank the top 10 input drivers by absolute EBITDA/Revenue impact.</w:t>
      </w:r>
    </w:p>
    <w:p>
      <w:pPr>
        <w:pStyle w:val="ListBullet"/>
        <w:spacing w:after="40"/>
        <w:ind w:left="360"/>
      </w:pPr>
      <w:r>
        <w:rPr>
          <w:b w:val="0"/>
          <w:sz w:val="20"/>
        </w:rPr>
        <w:t>Breakeven Matrix: 2D table showing which combinations of (Orders/Day x AOV) or (Food Cost% x Commission%) achieve breakeven.</w:t>
      </w:r>
    </w:p>
    <w:p>
      <w:pPr>
        <w:pStyle w:val="ListBullet"/>
        <w:spacing w:after="40"/>
        <w:ind w:left="360"/>
      </w:pPr>
      <w:r>
        <w:rPr>
          <w:b w:val="0"/>
          <w:sz w:val="20"/>
        </w:rPr>
        <w:t>One-way Sensitivity: Slide any single assumption +/- 30% and see all KPIs react in real-time.</w:t>
      </w:r>
    </w:p>
    <w:p>
      <w:pPr>
        <w:pStyle w:val="ListBullet"/>
        <w:spacing w:after="40"/>
        <w:ind w:left="360"/>
      </w:pPr>
      <w:r>
        <w:rPr>
          <w:b w:val="0"/>
          <w:sz w:val="20"/>
        </w:rPr>
        <w:t>Two-way Sensitivity: Simultaneous variation of 2 drivers — visualized as a matrix grid.</w:t>
      </w:r>
    </w:p>
    <w:p/>
    <w:p>
      <w:pPr>
        <w:pStyle w:val="Heading2"/>
        <w:keepNext/>
      </w:pPr>
      <w:r>
        <w:t>Monte Carlo Engine</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B3A6B" w:val="clear"/>
          </w:tcPr>
          <w:p>
            <w:pPr>
              <w:jc w:val="center"/>
              <w:keepLines/>
            </w:pPr>
            <w:r>
              <w:rPr>
                <w:b/>
                <w:color w:val="FFFFFF"/>
                <w:sz w:val="18"/>
              </w:rPr>
              <w:t>Input</w:t>
            </w:r>
          </w:p>
        </w:tc>
        <w:tc>
          <w:tcPr>
            <w:tcW w:type="dxa" w:w="2880"/>
            <w:shd w:fill="1B3A6B" w:val="clear"/>
          </w:tcPr>
          <w:p>
            <w:pPr>
              <w:jc w:val="center"/>
              <w:keepLines/>
            </w:pPr>
            <w:r>
              <w:rPr>
                <w:b/>
                <w:color w:val="FFFFFF"/>
                <w:sz w:val="18"/>
              </w:rPr>
              <w:t>Distribution</w:t>
            </w:r>
          </w:p>
        </w:tc>
        <w:tc>
          <w:tcPr>
            <w:tcW w:type="dxa" w:w="3312"/>
            <w:shd w:fill="1B3A6B" w:val="clear"/>
          </w:tcPr>
          <w:p>
            <w:pPr>
              <w:jc w:val="center"/>
              <w:keepLines/>
            </w:pPr>
            <w:r>
              <w:rPr>
                <w:b/>
                <w:color w:val="FFFFFF"/>
                <w:sz w:val="18"/>
              </w:rPr>
              <w:t>Range</w:t>
            </w:r>
          </w:p>
        </w:tc>
      </w:tr>
      <w:tr>
        <w:tc>
          <w:tcPr>
            <w:tcW w:type="dxa" w:w="3168"/>
          </w:tcPr>
          <w:p>
            <w:pPr>
              <w:jc w:val="left"/>
              <w:keepLines/>
            </w:pPr>
            <w:r>
              <w:rPr>
                <w:sz w:val="18"/>
              </w:rPr>
              <w:t>Monthly demand growth</w:t>
            </w:r>
          </w:p>
        </w:tc>
        <w:tc>
          <w:tcPr>
            <w:tcW w:type="dxa" w:w="2880"/>
          </w:tcPr>
          <w:p>
            <w:pPr>
              <w:jc w:val="left"/>
              <w:keepLines/>
            </w:pPr>
            <w:r>
              <w:rPr>
                <w:sz w:val="18"/>
              </w:rPr>
              <w:t>Normal</w:t>
            </w:r>
          </w:p>
        </w:tc>
        <w:tc>
          <w:tcPr>
            <w:tcW w:type="dxa" w:w="3312"/>
          </w:tcPr>
          <w:p>
            <w:pPr>
              <w:jc w:val="left"/>
              <w:keepLines/>
            </w:pPr>
            <w:r>
              <w:rPr>
                <w:sz w:val="18"/>
              </w:rPr>
              <w:t>+/- 30%</w:t>
            </w:r>
          </w:p>
        </w:tc>
      </w:tr>
      <w:tr>
        <w:tc>
          <w:tcPr>
            <w:tcW w:type="dxa" w:w="3168"/>
            <w:shd w:fill="F0F4FA" w:val="clear"/>
          </w:tcPr>
          <w:p>
            <w:pPr>
              <w:jc w:val="left"/>
              <w:keepLines/>
            </w:pPr>
            <w:r>
              <w:rPr>
                <w:sz w:val="18"/>
              </w:rPr>
              <w:t>Food cost %</w:t>
            </w:r>
          </w:p>
        </w:tc>
        <w:tc>
          <w:tcPr>
            <w:tcW w:type="dxa" w:w="2880"/>
            <w:shd w:fill="F0F4FA" w:val="clear"/>
          </w:tcPr>
          <w:p>
            <w:pPr>
              <w:jc w:val="left"/>
              <w:keepLines/>
            </w:pPr>
            <w:r>
              <w:rPr>
                <w:sz w:val="18"/>
              </w:rPr>
              <w:t>Log-normal</w:t>
            </w:r>
          </w:p>
        </w:tc>
        <w:tc>
          <w:tcPr>
            <w:tcW w:type="dxa" w:w="3312"/>
            <w:shd w:fill="F0F4FA" w:val="clear"/>
          </w:tcPr>
          <w:p>
            <w:pPr>
              <w:jc w:val="left"/>
              <w:keepLines/>
            </w:pPr>
            <w:r>
              <w:rPr>
                <w:sz w:val="18"/>
              </w:rPr>
              <w:t>28-40%</w:t>
            </w:r>
          </w:p>
        </w:tc>
      </w:tr>
      <w:tr>
        <w:tc>
          <w:tcPr>
            <w:tcW w:type="dxa" w:w="3168"/>
          </w:tcPr>
          <w:p>
            <w:pPr>
              <w:jc w:val="left"/>
              <w:keepLines/>
            </w:pPr>
            <w:r>
              <w:rPr>
                <w:sz w:val="18"/>
              </w:rPr>
              <w:t>Platform commission</w:t>
            </w:r>
          </w:p>
        </w:tc>
        <w:tc>
          <w:tcPr>
            <w:tcW w:type="dxa" w:w="2880"/>
          </w:tcPr>
          <w:p>
            <w:pPr>
              <w:jc w:val="left"/>
              <w:keepLines/>
            </w:pPr>
            <w:r>
              <w:rPr>
                <w:sz w:val="18"/>
              </w:rPr>
              <w:t>Uniform</w:t>
            </w:r>
          </w:p>
        </w:tc>
        <w:tc>
          <w:tcPr>
            <w:tcW w:type="dxa" w:w="3312"/>
          </w:tcPr>
          <w:p>
            <w:pPr>
              <w:jc w:val="left"/>
              <w:keepLines/>
            </w:pPr>
            <w:r>
              <w:rPr>
                <w:sz w:val="18"/>
              </w:rPr>
              <w:t>20-32%</w:t>
            </w:r>
          </w:p>
        </w:tc>
      </w:tr>
      <w:tr>
        <w:tc>
          <w:tcPr>
            <w:tcW w:type="dxa" w:w="3168"/>
            <w:shd w:fill="F0F4FA" w:val="clear"/>
          </w:tcPr>
          <w:p>
            <w:pPr>
              <w:jc w:val="left"/>
              <w:keepLines/>
            </w:pPr>
            <w:r>
              <w:rPr>
                <w:sz w:val="18"/>
              </w:rPr>
              <w:t>Launch timing</w:t>
            </w:r>
          </w:p>
        </w:tc>
        <w:tc>
          <w:tcPr>
            <w:tcW w:type="dxa" w:w="2880"/>
            <w:shd w:fill="F0F4FA" w:val="clear"/>
          </w:tcPr>
          <w:p>
            <w:pPr>
              <w:jc w:val="left"/>
              <w:keepLines/>
            </w:pPr>
            <w:r>
              <w:rPr>
                <w:sz w:val="18"/>
              </w:rPr>
              <w:t>Triangular</w:t>
            </w:r>
          </w:p>
        </w:tc>
        <w:tc>
          <w:tcPr>
            <w:tcW w:type="dxa" w:w="3312"/>
            <w:shd w:fill="F0F4FA" w:val="clear"/>
          </w:tcPr>
          <w:p>
            <w:pPr>
              <w:jc w:val="left"/>
              <w:keepLines/>
            </w:pPr>
            <w:r>
              <w:rPr>
                <w:sz w:val="18"/>
              </w:rPr>
              <w:t>+/- 8 weeks</w:t>
            </w:r>
          </w:p>
        </w:tc>
      </w:tr>
      <w:tr>
        <w:tc>
          <w:tcPr>
            <w:tcW w:type="dxa" w:w="3168"/>
          </w:tcPr>
          <w:p>
            <w:pPr>
              <w:jc w:val="left"/>
              <w:keepLines/>
            </w:pPr>
            <w:r>
              <w:rPr>
                <w:sz w:val="18"/>
              </w:rPr>
              <w:t>Ingredient price</w:t>
            </w:r>
          </w:p>
        </w:tc>
        <w:tc>
          <w:tcPr>
            <w:tcW w:type="dxa" w:w="2880"/>
          </w:tcPr>
          <w:p>
            <w:pPr>
              <w:jc w:val="left"/>
              <w:keepLines/>
            </w:pPr>
            <w:r>
              <w:rPr>
                <w:sz w:val="18"/>
              </w:rPr>
              <w:t>Log-normal</w:t>
            </w:r>
          </w:p>
        </w:tc>
        <w:tc>
          <w:tcPr>
            <w:tcW w:type="dxa" w:w="3312"/>
          </w:tcPr>
          <w:p>
            <w:pPr>
              <w:jc w:val="left"/>
              <w:keepLines/>
            </w:pPr>
            <w:r>
              <w:rPr>
                <w:sz w:val="18"/>
              </w:rPr>
              <w:t>+/- 25%</w:t>
            </w:r>
          </w:p>
        </w:tc>
      </w:tr>
    </w:tbl>
    <w:p/>
    <w:p>
      <w:pPr>
        <w:spacing w:before="0" w:after="80"/>
        <w:jc w:val="left"/>
      </w:pPr>
      <w:r>
        <w:rPr>
          <w:b w:val="0"/>
          <w:i/>
          <w:sz w:val="19"/>
        </w:rPr>
        <w:t>Output: 1,000+ simulation runs generating P10/P25/P50/P75/P90 distributions for Revenue, EBITDA, Cash Position, and Cash Runway.</w:t>
      </w:r>
    </w:p>
    <w:p>
      <w:r>
        <w:br w:type="page"/>
      </w:r>
    </w:p>
    <w:p>
      <w:pPr>
        <w:pStyle w:val="Heading1"/>
        <w:keepNext/>
      </w:pPr>
      <w:r>
        <w:t>11. Simulation Catalog</w:t>
      </w:r>
    </w:p>
    <w:p>
      <w:pPr>
        <w:spacing w:before="0" w:after="80"/>
        <w:jc w:val="left"/>
      </w:pPr>
      <w:r>
        <w:rPr>
          <w:b w:val="0"/>
          <w:i w:val="0"/>
          <w:sz w:val="20"/>
        </w:rPr>
        <w:t>12 simulators covering what-if, stress, capital, and probabilistic analysis.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fill="1B3A6B" w:val="clear"/>
          </w:tcPr>
          <w:p>
            <w:pPr>
              <w:jc w:val="center"/>
              <w:keepLines/>
            </w:pPr>
            <w:r>
              <w:rPr>
                <w:b/>
                <w:color w:val="FFFFFF"/>
                <w:sz w:val="17"/>
              </w:rPr>
              <w:t>Simulator</w:t>
            </w:r>
          </w:p>
        </w:tc>
        <w:tc>
          <w:tcPr>
            <w:tcW w:type="dxa" w:w="2592"/>
            <w:shd w:fill="1B3A6B" w:val="clear"/>
          </w:tcPr>
          <w:p>
            <w:pPr>
              <w:jc w:val="center"/>
              <w:keepLines/>
            </w:pPr>
            <w:r>
              <w:rPr>
                <w:b/>
                <w:color w:val="FFFFFF"/>
                <w:sz w:val="17"/>
              </w:rPr>
              <w:t>Controls</w:t>
            </w:r>
          </w:p>
        </w:tc>
        <w:tc>
          <w:tcPr>
            <w:tcW w:type="dxa" w:w="2448"/>
            <w:shd w:fill="1B3A6B" w:val="clear"/>
          </w:tcPr>
          <w:p>
            <w:pPr>
              <w:jc w:val="center"/>
              <w:keepLines/>
            </w:pPr>
            <w:r>
              <w:rPr>
                <w:b/>
                <w:color w:val="FFFFFF"/>
                <w:sz w:val="17"/>
              </w:rPr>
              <w:t>Primary Outputs</w:t>
            </w:r>
          </w:p>
        </w:tc>
        <w:tc>
          <w:tcPr>
            <w:tcW w:type="dxa" w:w="1728"/>
            <w:shd w:fill="1B3A6B" w:val="clear"/>
          </w:tcPr>
          <w:p>
            <w:pPr>
              <w:jc w:val="center"/>
              <w:keepLines/>
            </w:pPr>
            <w:r>
              <w:rPr>
                <w:b/>
                <w:color w:val="FFFFFF"/>
                <w:sz w:val="17"/>
              </w:rPr>
              <w:t>Type</w:t>
            </w:r>
          </w:p>
        </w:tc>
      </w:tr>
      <w:tr>
        <w:tc>
          <w:tcPr>
            <w:tcW w:type="dxa" w:w="2016"/>
          </w:tcPr>
          <w:p>
            <w:pPr>
              <w:jc w:val="left"/>
              <w:keepLines/>
            </w:pPr>
            <w:r>
              <w:rPr>
                <w:sz w:val="17"/>
              </w:rPr>
              <w:t>Pricing Simulator</w:t>
            </w:r>
          </w:p>
        </w:tc>
        <w:tc>
          <w:tcPr>
            <w:tcW w:type="dxa" w:w="2592"/>
          </w:tcPr>
          <w:p>
            <w:pPr>
              <w:jc w:val="left"/>
              <w:keepLines/>
            </w:pPr>
            <w:r>
              <w:rPr>
                <w:sz w:val="17"/>
              </w:rPr>
              <w:t>Price per variant, discount depth, promo mix</w:t>
            </w:r>
          </w:p>
        </w:tc>
        <w:tc>
          <w:tcPr>
            <w:tcW w:type="dxa" w:w="2448"/>
          </w:tcPr>
          <w:p>
            <w:pPr>
              <w:jc w:val="left"/>
              <w:keepLines/>
            </w:pPr>
            <w:r>
              <w:rPr>
                <w:sz w:val="17"/>
              </w:rPr>
              <w:t>Demand, Revenue, Margin</w:t>
            </w:r>
          </w:p>
        </w:tc>
        <w:tc>
          <w:tcPr>
            <w:tcW w:type="dxa" w:w="1728"/>
          </w:tcPr>
          <w:p>
            <w:pPr>
              <w:jc w:val="left"/>
              <w:keepLines/>
            </w:pPr>
            <w:r>
              <w:rPr>
                <w:sz w:val="17"/>
              </w:rPr>
              <w:t>What-if</w:t>
            </w:r>
          </w:p>
        </w:tc>
      </w:tr>
      <w:tr>
        <w:tc>
          <w:tcPr>
            <w:tcW w:type="dxa" w:w="2016"/>
            <w:shd w:fill="F0F4FA" w:val="clear"/>
          </w:tcPr>
          <w:p>
            <w:pPr>
              <w:jc w:val="left"/>
              <w:keepLines/>
            </w:pPr>
            <w:r>
              <w:rPr>
                <w:sz w:val="17"/>
              </w:rPr>
              <w:t>Marketing Simulator</w:t>
            </w:r>
          </w:p>
        </w:tc>
        <w:tc>
          <w:tcPr>
            <w:tcW w:type="dxa" w:w="2592"/>
            <w:shd w:fill="F0F4FA" w:val="clear"/>
          </w:tcPr>
          <w:p>
            <w:pPr>
              <w:jc w:val="left"/>
              <w:keepLines/>
            </w:pPr>
            <w:r>
              <w:rPr>
                <w:sz w:val="17"/>
              </w:rPr>
              <w:t>Channel mix, spend level, CAC target</w:t>
            </w:r>
          </w:p>
        </w:tc>
        <w:tc>
          <w:tcPr>
            <w:tcW w:type="dxa" w:w="2448"/>
            <w:shd w:fill="F0F4FA" w:val="clear"/>
          </w:tcPr>
          <w:p>
            <w:pPr>
              <w:jc w:val="left"/>
              <w:keepLines/>
            </w:pPr>
            <w:r>
              <w:rPr>
                <w:sz w:val="17"/>
              </w:rPr>
              <w:t>CAC, Demand uplift, ROI</w:t>
            </w:r>
          </w:p>
        </w:tc>
        <w:tc>
          <w:tcPr>
            <w:tcW w:type="dxa" w:w="1728"/>
            <w:shd w:fill="F0F4FA" w:val="clear"/>
          </w:tcPr>
          <w:p>
            <w:pPr>
              <w:jc w:val="left"/>
              <w:keepLines/>
            </w:pPr>
            <w:r>
              <w:rPr>
                <w:sz w:val="17"/>
              </w:rPr>
              <w:t>What-if</w:t>
            </w:r>
          </w:p>
        </w:tc>
      </w:tr>
      <w:tr>
        <w:tc>
          <w:tcPr>
            <w:tcW w:type="dxa" w:w="2016"/>
          </w:tcPr>
          <w:p>
            <w:pPr>
              <w:jc w:val="left"/>
              <w:keepLines/>
            </w:pPr>
            <w:r>
              <w:rPr>
                <w:sz w:val="17"/>
              </w:rPr>
              <w:t>Expansion Pacing</w:t>
            </w:r>
          </w:p>
        </w:tc>
        <w:tc>
          <w:tcPr>
            <w:tcW w:type="dxa" w:w="2592"/>
          </w:tcPr>
          <w:p>
            <w:pPr>
              <w:jc w:val="left"/>
              <w:keepLines/>
            </w:pPr>
            <w:r>
              <w:rPr>
                <w:sz w:val="17"/>
              </w:rPr>
              <w:t>Launch timing, phase triggers</w:t>
            </w:r>
          </w:p>
        </w:tc>
        <w:tc>
          <w:tcPr>
            <w:tcW w:type="dxa" w:w="2448"/>
          </w:tcPr>
          <w:p>
            <w:pPr>
              <w:jc w:val="left"/>
              <w:keepLines/>
            </w:pPr>
            <w:r>
              <w:rPr>
                <w:sz w:val="17"/>
              </w:rPr>
              <w:t>Revenue, Cash, Payback</w:t>
            </w:r>
          </w:p>
        </w:tc>
        <w:tc>
          <w:tcPr>
            <w:tcW w:type="dxa" w:w="1728"/>
          </w:tcPr>
          <w:p>
            <w:pPr>
              <w:jc w:val="left"/>
              <w:keepLines/>
            </w:pPr>
            <w:r>
              <w:rPr>
                <w:sz w:val="17"/>
              </w:rPr>
              <w:t>Strategic</w:t>
            </w:r>
          </w:p>
        </w:tc>
      </w:tr>
      <w:tr>
        <w:tc>
          <w:tcPr>
            <w:tcW w:type="dxa" w:w="2016"/>
            <w:shd w:fill="F0F4FA" w:val="clear"/>
          </w:tcPr>
          <w:p>
            <w:pPr>
              <w:jc w:val="left"/>
              <w:keepLines/>
            </w:pPr>
            <w:r>
              <w:rPr>
                <w:sz w:val="17"/>
              </w:rPr>
              <w:t>Funding Simulator</w:t>
            </w:r>
          </w:p>
        </w:tc>
        <w:tc>
          <w:tcPr>
            <w:tcW w:type="dxa" w:w="2592"/>
            <w:shd w:fill="F0F4FA" w:val="clear"/>
          </w:tcPr>
          <w:p>
            <w:pPr>
              <w:jc w:val="left"/>
              <w:keepLines/>
            </w:pPr>
            <w:r>
              <w:rPr>
                <w:sz w:val="17"/>
              </w:rPr>
              <w:t>Raise size, timing, equity %</w:t>
            </w:r>
          </w:p>
        </w:tc>
        <w:tc>
          <w:tcPr>
            <w:tcW w:type="dxa" w:w="2448"/>
            <w:shd w:fill="F0F4FA" w:val="clear"/>
          </w:tcPr>
          <w:p>
            <w:pPr>
              <w:jc w:val="left"/>
              <w:keepLines/>
            </w:pPr>
            <w:r>
              <w:rPr>
                <w:sz w:val="17"/>
              </w:rPr>
              <w:t>Runway, Dilution, IRR</w:t>
            </w:r>
          </w:p>
        </w:tc>
        <w:tc>
          <w:tcPr>
            <w:tcW w:type="dxa" w:w="1728"/>
            <w:shd w:fill="F0F4FA" w:val="clear"/>
          </w:tcPr>
          <w:p>
            <w:pPr>
              <w:jc w:val="left"/>
              <w:keepLines/>
            </w:pPr>
            <w:r>
              <w:rPr>
                <w:sz w:val="17"/>
              </w:rPr>
              <w:t>Capital</w:t>
            </w:r>
          </w:p>
        </w:tc>
      </w:tr>
      <w:tr>
        <w:tc>
          <w:tcPr>
            <w:tcW w:type="dxa" w:w="2016"/>
          </w:tcPr>
          <w:p>
            <w:pPr>
              <w:jc w:val="left"/>
              <w:keepLines/>
            </w:pPr>
            <w:r>
              <w:rPr>
                <w:sz w:val="17"/>
              </w:rPr>
              <w:t>Cost Shock</w:t>
            </w:r>
          </w:p>
        </w:tc>
        <w:tc>
          <w:tcPr>
            <w:tcW w:type="dxa" w:w="2592"/>
          </w:tcPr>
          <w:p>
            <w:pPr>
              <w:jc w:val="left"/>
              <w:keepLines/>
            </w:pPr>
            <w:r>
              <w:rPr>
                <w:sz w:val="17"/>
              </w:rPr>
              <w:t>Ingredient %, rent %, wages %</w:t>
            </w:r>
          </w:p>
        </w:tc>
        <w:tc>
          <w:tcPr>
            <w:tcW w:type="dxa" w:w="2448"/>
          </w:tcPr>
          <w:p>
            <w:pPr>
              <w:jc w:val="left"/>
              <w:keepLines/>
            </w:pPr>
            <w:r>
              <w:rPr>
                <w:sz w:val="17"/>
              </w:rPr>
              <w:t>EBITDA, Cash flow</w:t>
            </w:r>
          </w:p>
        </w:tc>
        <w:tc>
          <w:tcPr>
            <w:tcW w:type="dxa" w:w="1728"/>
          </w:tcPr>
          <w:p>
            <w:pPr>
              <w:jc w:val="left"/>
              <w:keepLines/>
            </w:pPr>
            <w:r>
              <w:rPr>
                <w:sz w:val="17"/>
              </w:rPr>
              <w:t>Stress</w:t>
            </w:r>
          </w:p>
        </w:tc>
      </w:tr>
      <w:tr>
        <w:tc>
          <w:tcPr>
            <w:tcW w:type="dxa" w:w="2016"/>
            <w:shd w:fill="F0F4FA" w:val="clear"/>
          </w:tcPr>
          <w:p>
            <w:pPr>
              <w:jc w:val="left"/>
              <w:keepLines/>
            </w:pPr>
            <w:r>
              <w:rPr>
                <w:sz w:val="17"/>
              </w:rPr>
              <w:t>Margin Recovery</w:t>
            </w:r>
          </w:p>
        </w:tc>
        <w:tc>
          <w:tcPr>
            <w:tcW w:type="dxa" w:w="2592"/>
            <w:shd w:fill="F0F4FA" w:val="clear"/>
          </w:tcPr>
          <w:p>
            <w:pPr>
              <w:jc w:val="left"/>
              <w:keepLines/>
            </w:pPr>
            <w:r>
              <w:rPr>
                <w:sz w:val="17"/>
              </w:rPr>
              <w:t>Lever combinations (price/cost/volume)</w:t>
            </w:r>
          </w:p>
        </w:tc>
        <w:tc>
          <w:tcPr>
            <w:tcW w:type="dxa" w:w="2448"/>
            <w:shd w:fill="F0F4FA" w:val="clear"/>
          </w:tcPr>
          <w:p>
            <w:pPr>
              <w:jc w:val="left"/>
              <w:keepLines/>
            </w:pPr>
            <w:r>
              <w:rPr>
                <w:sz w:val="17"/>
              </w:rPr>
              <w:t>Target EBITDA achievement</w:t>
            </w:r>
          </w:p>
        </w:tc>
        <w:tc>
          <w:tcPr>
            <w:tcW w:type="dxa" w:w="1728"/>
            <w:shd w:fill="F0F4FA" w:val="clear"/>
          </w:tcPr>
          <w:p>
            <w:pPr>
              <w:jc w:val="left"/>
              <w:keepLines/>
            </w:pPr>
            <w:r>
              <w:rPr>
                <w:sz w:val="17"/>
              </w:rPr>
              <w:t>Recovery</w:t>
            </w:r>
          </w:p>
        </w:tc>
      </w:tr>
      <w:tr>
        <w:tc>
          <w:tcPr>
            <w:tcW w:type="dxa" w:w="2016"/>
          </w:tcPr>
          <w:p>
            <w:pPr>
              <w:jc w:val="left"/>
              <w:keepLines/>
            </w:pPr>
            <w:r>
              <w:rPr>
                <w:sz w:val="17"/>
              </w:rPr>
              <w:t>Capacity Simulator</w:t>
            </w:r>
          </w:p>
        </w:tc>
        <w:tc>
          <w:tcPr>
            <w:tcW w:type="dxa" w:w="2592"/>
          </w:tcPr>
          <w:p>
            <w:pPr>
              <w:jc w:val="left"/>
              <w:keepLines/>
            </w:pPr>
            <w:r>
              <w:rPr>
                <w:sz w:val="17"/>
              </w:rPr>
              <w:t>Expansion levels, timing</w:t>
            </w:r>
          </w:p>
        </w:tc>
        <w:tc>
          <w:tcPr>
            <w:tcW w:type="dxa" w:w="2448"/>
          </w:tcPr>
          <w:p>
            <w:pPr>
              <w:jc w:val="left"/>
              <w:keepLines/>
            </w:pPr>
            <w:r>
              <w:rPr>
                <w:sz w:val="17"/>
              </w:rPr>
              <w:t>Utilization, Lost orders</w:t>
            </w:r>
          </w:p>
        </w:tc>
        <w:tc>
          <w:tcPr>
            <w:tcW w:type="dxa" w:w="1728"/>
          </w:tcPr>
          <w:p>
            <w:pPr>
              <w:jc w:val="left"/>
              <w:keepLines/>
            </w:pPr>
            <w:r>
              <w:rPr>
                <w:sz w:val="17"/>
              </w:rPr>
              <w:t>Operational</w:t>
            </w:r>
          </w:p>
        </w:tc>
      </w:tr>
      <w:tr>
        <w:tc>
          <w:tcPr>
            <w:tcW w:type="dxa" w:w="2016"/>
            <w:shd w:fill="F0F4FA" w:val="clear"/>
          </w:tcPr>
          <w:p>
            <w:pPr>
              <w:jc w:val="left"/>
              <w:keepLines/>
            </w:pPr>
            <w:r>
              <w:rPr>
                <w:sz w:val="17"/>
              </w:rPr>
              <w:t>Workforce Simulator</w:t>
            </w:r>
          </w:p>
        </w:tc>
        <w:tc>
          <w:tcPr>
            <w:tcW w:type="dxa" w:w="2592"/>
            <w:shd w:fill="F0F4FA" w:val="clear"/>
          </w:tcPr>
          <w:p>
            <w:pPr>
              <w:jc w:val="left"/>
              <w:keepLines/>
            </w:pPr>
            <w:r>
              <w:rPr>
                <w:sz w:val="17"/>
              </w:rPr>
              <w:t>Turnover %, wage inflation</w:t>
            </w:r>
          </w:p>
        </w:tc>
        <w:tc>
          <w:tcPr>
            <w:tcW w:type="dxa" w:w="2448"/>
            <w:shd w:fill="F0F4FA" w:val="clear"/>
          </w:tcPr>
          <w:p>
            <w:pPr>
              <w:jc w:val="left"/>
              <w:keepLines/>
            </w:pPr>
            <w:r>
              <w:rPr>
                <w:sz w:val="17"/>
              </w:rPr>
              <w:t>Labor cost, Headcount</w:t>
            </w:r>
          </w:p>
        </w:tc>
        <w:tc>
          <w:tcPr>
            <w:tcW w:type="dxa" w:w="1728"/>
            <w:shd w:fill="F0F4FA" w:val="clear"/>
          </w:tcPr>
          <w:p>
            <w:pPr>
              <w:jc w:val="left"/>
              <w:keepLines/>
            </w:pPr>
            <w:r>
              <w:rPr>
                <w:sz w:val="17"/>
              </w:rPr>
              <w:t>Operational</w:t>
            </w:r>
          </w:p>
        </w:tc>
      </w:tr>
      <w:tr>
        <w:tc>
          <w:tcPr>
            <w:tcW w:type="dxa" w:w="2016"/>
          </w:tcPr>
          <w:p>
            <w:pPr>
              <w:jc w:val="left"/>
              <w:keepLines/>
            </w:pPr>
            <w:r>
              <w:rPr>
                <w:sz w:val="17"/>
              </w:rPr>
              <w:t>Platform Dependency</w:t>
            </w:r>
          </w:p>
        </w:tc>
        <w:tc>
          <w:tcPr>
            <w:tcW w:type="dxa" w:w="2592"/>
          </w:tcPr>
          <w:p>
            <w:pPr>
              <w:jc w:val="left"/>
              <w:keepLines/>
            </w:pPr>
            <w:r>
              <w:rPr>
                <w:sz w:val="17"/>
              </w:rPr>
              <w:t>Commission %, channel exit scenarios</w:t>
            </w:r>
          </w:p>
        </w:tc>
        <w:tc>
          <w:tcPr>
            <w:tcW w:type="dxa" w:w="2448"/>
          </w:tcPr>
          <w:p>
            <w:pPr>
              <w:jc w:val="left"/>
              <w:keepLines/>
            </w:pPr>
            <w:r>
              <w:rPr>
                <w:sz w:val="17"/>
              </w:rPr>
              <w:t>Net revenue, Margin</w:t>
            </w:r>
          </w:p>
        </w:tc>
        <w:tc>
          <w:tcPr>
            <w:tcW w:type="dxa" w:w="1728"/>
          </w:tcPr>
          <w:p>
            <w:pPr>
              <w:jc w:val="left"/>
              <w:keepLines/>
            </w:pPr>
            <w:r>
              <w:rPr>
                <w:sz w:val="17"/>
              </w:rPr>
              <w:t>Stress</w:t>
            </w:r>
          </w:p>
        </w:tc>
      </w:tr>
      <w:tr>
        <w:tc>
          <w:tcPr>
            <w:tcW w:type="dxa" w:w="2016"/>
            <w:shd w:fill="F0F4FA" w:val="clear"/>
          </w:tcPr>
          <w:p>
            <w:pPr>
              <w:jc w:val="left"/>
              <w:keepLines/>
            </w:pPr>
            <w:r>
              <w:rPr>
                <w:sz w:val="17"/>
              </w:rPr>
              <w:t>Competitive Entry</w:t>
            </w:r>
          </w:p>
        </w:tc>
        <w:tc>
          <w:tcPr>
            <w:tcW w:type="dxa" w:w="2592"/>
            <w:shd w:fill="F0F4FA" w:val="clear"/>
          </w:tcPr>
          <w:p>
            <w:pPr>
              <w:jc w:val="left"/>
              <w:keepLines/>
            </w:pPr>
            <w:r>
              <w:rPr>
                <w:sz w:val="17"/>
              </w:rPr>
              <w:t>Competitor entry timing, market share loss</w:t>
            </w:r>
          </w:p>
        </w:tc>
        <w:tc>
          <w:tcPr>
            <w:tcW w:type="dxa" w:w="2448"/>
            <w:shd w:fill="F0F4FA" w:val="clear"/>
          </w:tcPr>
          <w:p>
            <w:pPr>
              <w:jc w:val="left"/>
              <w:keepLines/>
            </w:pPr>
            <w:r>
              <w:rPr>
                <w:sz w:val="17"/>
              </w:rPr>
              <w:t>Demand response, Pricing</w:t>
            </w:r>
          </w:p>
        </w:tc>
        <w:tc>
          <w:tcPr>
            <w:tcW w:type="dxa" w:w="1728"/>
            <w:shd w:fill="F0F4FA" w:val="clear"/>
          </w:tcPr>
          <w:p>
            <w:pPr>
              <w:jc w:val="left"/>
              <w:keepLines/>
            </w:pPr>
            <w:r>
              <w:rPr>
                <w:sz w:val="17"/>
              </w:rPr>
              <w:t>Stress</w:t>
            </w:r>
          </w:p>
        </w:tc>
      </w:tr>
      <w:tr>
        <w:tc>
          <w:tcPr>
            <w:tcW w:type="dxa" w:w="2016"/>
          </w:tcPr>
          <w:p>
            <w:pPr>
              <w:jc w:val="left"/>
              <w:keepLines/>
            </w:pPr>
            <w:r>
              <w:rPr>
                <w:sz w:val="17"/>
              </w:rPr>
              <w:t>Scenario Comparator</w:t>
            </w:r>
          </w:p>
        </w:tc>
        <w:tc>
          <w:tcPr>
            <w:tcW w:type="dxa" w:w="2592"/>
          </w:tcPr>
          <w:p>
            <w:pPr>
              <w:jc w:val="left"/>
              <w:keepLines/>
            </w:pPr>
            <w:r>
              <w:rPr>
                <w:sz w:val="17"/>
              </w:rPr>
              <w:t>Select 2-4 scenarios simultaneously</w:t>
            </w:r>
          </w:p>
        </w:tc>
        <w:tc>
          <w:tcPr>
            <w:tcW w:type="dxa" w:w="2448"/>
          </w:tcPr>
          <w:p>
            <w:pPr>
              <w:jc w:val="left"/>
              <w:keepLines/>
            </w:pPr>
            <w:r>
              <w:rPr>
                <w:sz w:val="17"/>
              </w:rPr>
              <w:t>Side-by-side KPI comparison</w:t>
            </w:r>
          </w:p>
        </w:tc>
        <w:tc>
          <w:tcPr>
            <w:tcW w:type="dxa" w:w="1728"/>
          </w:tcPr>
          <w:p>
            <w:pPr>
              <w:jc w:val="left"/>
              <w:keepLines/>
            </w:pPr>
            <w:r>
              <w:rPr>
                <w:sz w:val="17"/>
              </w:rPr>
              <w:t>Compare</w:t>
            </w:r>
          </w:p>
        </w:tc>
      </w:tr>
      <w:tr>
        <w:tc>
          <w:tcPr>
            <w:tcW w:type="dxa" w:w="2016"/>
            <w:shd w:fill="F0F4FA" w:val="clear"/>
          </w:tcPr>
          <w:p>
            <w:pPr>
              <w:jc w:val="left"/>
              <w:keepLines/>
            </w:pPr>
            <w:r>
              <w:rPr>
                <w:sz w:val="17"/>
              </w:rPr>
              <w:t>Monte Carlo Engine</w:t>
            </w:r>
          </w:p>
        </w:tc>
        <w:tc>
          <w:tcPr>
            <w:tcW w:type="dxa" w:w="2592"/>
            <w:shd w:fill="F0F4FA" w:val="clear"/>
          </w:tcPr>
          <w:p>
            <w:pPr>
              <w:jc w:val="left"/>
              <w:keepLines/>
            </w:pPr>
            <w:r>
              <w:rPr>
                <w:sz w:val="17"/>
              </w:rPr>
              <w:t>Input probability distributions</w:t>
            </w:r>
          </w:p>
        </w:tc>
        <w:tc>
          <w:tcPr>
            <w:tcW w:type="dxa" w:w="2448"/>
            <w:shd w:fill="F0F4FA" w:val="clear"/>
          </w:tcPr>
          <w:p>
            <w:pPr>
              <w:jc w:val="left"/>
              <w:keepLines/>
            </w:pPr>
            <w:r>
              <w:rPr>
                <w:sz w:val="17"/>
              </w:rPr>
              <w:t>Probabilistic output ranges</w:t>
            </w:r>
          </w:p>
        </w:tc>
        <w:tc>
          <w:tcPr>
            <w:tcW w:type="dxa" w:w="1728"/>
            <w:shd w:fill="F0F4FA" w:val="clear"/>
          </w:tcPr>
          <w:p>
            <w:pPr>
              <w:jc w:val="left"/>
              <w:keepLines/>
            </w:pPr>
            <w:r>
              <w:rPr>
                <w:sz w:val="17"/>
              </w:rPr>
              <w:t>Statistical</w:t>
            </w:r>
          </w:p>
        </w:tc>
      </w:tr>
    </w:tbl>
    <w:p>
      <w:r>
        <w:br w:type="page"/>
      </w:r>
    </w:p>
    <w:p>
      <w:pPr>
        <w:pStyle w:val="Heading1"/>
        <w:keepNext/>
      </w:pPr>
      <w:r>
        <w:t>12. Planning Grain Evolution</w:t>
      </w:r>
    </w:p>
    <w:p>
      <w:pPr>
        <w:spacing w:before="0" w:after="80"/>
        <w:jc w:val="left"/>
      </w:pPr>
      <w:r>
        <w:rPr>
          <w:b w:val="0"/>
          <w:i w:val="0"/>
          <w:sz w:val="20"/>
        </w:rPr>
        <w:t>The planning grain evolves as the business matures, adding more detail while maintaining the finance-first principle. Optional enrichments are only adopted when they materially affect financial decisions.</w:t>
      </w:r>
    </w:p>
    <w:p/>
    <w:tbl>
      <w:tblPr>
        <w:tblStyle w:val="TableGrid"/>
        <w:tblW w:type="auto" w:w="0"/>
        <w:jc w:val="left"/>
        <w:tblLook w:firstColumn="1" w:firstRow="1" w:lastColumn="0" w:lastRow="0" w:noHBand="0" w:noVBand="1" w:val="04A0"/>
      </w:tblPr>
      <w:tblGrid>
        <w:gridCol w:w="3120"/>
        <w:gridCol w:w="3120"/>
        <w:gridCol w:w="3120"/>
      </w:tblGrid>
      <w:tr>
        <w:tc>
          <w:tcPr>
            <w:tcW w:type="dxa" w:w="1728"/>
            <w:shd w:fill="1B3A6B" w:val="clear"/>
          </w:tcPr>
          <w:p>
            <w:pPr>
              <w:jc w:val="center"/>
              <w:keepLines/>
            </w:pPr>
            <w:r>
              <w:rPr>
                <w:b/>
                <w:color w:val="FFFFFF"/>
                <w:sz w:val="18"/>
              </w:rPr>
              <w:t>Stage</w:t>
            </w:r>
          </w:p>
        </w:tc>
        <w:tc>
          <w:tcPr>
            <w:tcW w:type="dxa" w:w="3600"/>
            <w:shd w:fill="1B3A6B" w:val="clear"/>
          </w:tcPr>
          <w:p>
            <w:pPr>
              <w:jc w:val="center"/>
              <w:keepLines/>
            </w:pPr>
            <w:r>
              <w:rPr>
                <w:b/>
                <w:color w:val="FFFFFF"/>
                <w:sz w:val="18"/>
              </w:rPr>
              <w:t>Grain Definition</w:t>
            </w:r>
          </w:p>
        </w:tc>
        <w:tc>
          <w:tcPr>
            <w:tcW w:type="dxa" w:w="4032"/>
            <w:shd w:fill="1B3A6B" w:val="clear"/>
          </w:tcPr>
          <w:p>
            <w:pPr>
              <w:jc w:val="center"/>
              <w:keepLines/>
            </w:pPr>
            <w:r>
              <w:rPr>
                <w:b/>
                <w:color w:val="FFFFFF"/>
                <w:sz w:val="18"/>
              </w:rPr>
              <w:t>Primary Use Case</w:t>
            </w:r>
          </w:p>
        </w:tc>
      </w:tr>
      <w:tr>
        <w:tc>
          <w:tcPr>
            <w:tcW w:type="dxa" w:w="1728"/>
          </w:tcPr>
          <w:p>
            <w:pPr>
              <w:jc w:val="left"/>
              <w:keepLines/>
            </w:pPr>
            <w:r>
              <w:rPr>
                <w:sz w:val="18"/>
              </w:rPr>
              <w:t>1. Pre-Launch</w:t>
            </w:r>
          </w:p>
        </w:tc>
        <w:tc>
          <w:tcPr>
            <w:tcW w:type="dxa" w:w="3600"/>
          </w:tcPr>
          <w:p>
            <w:pPr>
              <w:jc w:val="left"/>
              <w:keepLines/>
            </w:pPr>
            <w:r>
              <w:rPr>
                <w:sz w:val="18"/>
              </w:rPr>
              <w:t>Market x Kitchen Format x Month</w:t>
            </w:r>
          </w:p>
        </w:tc>
        <w:tc>
          <w:tcPr>
            <w:tcW w:type="dxa" w:w="4032"/>
          </w:tcPr>
          <w:p>
            <w:pPr>
              <w:jc w:val="left"/>
              <w:keepLines/>
            </w:pPr>
            <w:r>
              <w:rPr>
                <w:sz w:val="18"/>
              </w:rPr>
              <w:t>Startup capital planning, investor decks, market selection, initial runway analysis</w:t>
            </w:r>
          </w:p>
        </w:tc>
      </w:tr>
      <w:tr>
        <w:tc>
          <w:tcPr>
            <w:tcW w:type="dxa" w:w="1728"/>
            <w:shd w:fill="F0F4FA" w:val="clear"/>
          </w:tcPr>
          <w:p>
            <w:pPr>
              <w:jc w:val="left"/>
              <w:keepLines/>
            </w:pPr>
            <w:r>
              <w:rPr>
                <w:sz w:val="18"/>
              </w:rPr>
              <w:t>2. Early Ramp</w:t>
            </w:r>
          </w:p>
        </w:tc>
        <w:tc>
          <w:tcPr>
            <w:tcW w:type="dxa" w:w="3600"/>
            <w:shd w:fill="F0F4FA" w:val="clear"/>
          </w:tcPr>
          <w:p>
            <w:pPr>
              <w:jc w:val="left"/>
              <w:keepLines/>
            </w:pPr>
            <w:r>
              <w:rPr>
                <w:sz w:val="18"/>
              </w:rPr>
              <w:t>Market x Platform x Product Family x Month</w:t>
            </w:r>
          </w:p>
        </w:tc>
        <w:tc>
          <w:tcPr>
            <w:tcW w:type="dxa" w:w="4032"/>
            <w:shd w:fill="F0F4FA" w:val="clear"/>
          </w:tcPr>
          <w:p>
            <w:pPr>
              <w:jc w:val="left"/>
              <w:keepLines/>
            </w:pPr>
            <w:r>
              <w:rPr>
                <w:sz w:val="18"/>
              </w:rPr>
              <w:t>Launch tracking, platform mix optimization, CAC efficiency, early unit economics</w:t>
            </w:r>
          </w:p>
        </w:tc>
      </w:tr>
      <w:tr>
        <w:tc>
          <w:tcPr>
            <w:tcW w:type="dxa" w:w="1728"/>
          </w:tcPr>
          <w:p>
            <w:pPr>
              <w:jc w:val="left"/>
              <w:keepLines/>
            </w:pPr>
            <w:r>
              <w:rPr>
                <w:sz w:val="18"/>
              </w:rPr>
              <w:t>3. Steady Planning</w:t>
            </w:r>
          </w:p>
        </w:tc>
        <w:tc>
          <w:tcPr>
            <w:tcW w:type="dxa" w:w="3600"/>
          </w:tcPr>
          <w:p>
            <w:pPr>
              <w:jc w:val="left"/>
              <w:keepLines/>
            </w:pPr>
            <w:r>
              <w:rPr>
                <w:sz w:val="18"/>
              </w:rPr>
              <w:t>Kitchen x Platform x Product Family x Month</w:t>
            </w:r>
          </w:p>
        </w:tc>
        <w:tc>
          <w:tcPr>
            <w:tcW w:type="dxa" w:w="4032"/>
          </w:tcPr>
          <w:p>
            <w:pPr>
              <w:jc w:val="left"/>
              <w:keepLines/>
            </w:pPr>
            <w:r>
              <w:rPr>
                <w:sz w:val="18"/>
              </w:rPr>
              <w:t>Recurring planning cycles, unit profitability, expansion trigger management</w:t>
            </w:r>
          </w:p>
        </w:tc>
      </w:tr>
    </w:tbl>
    <w:p/>
    <w:p>
      <w:pPr>
        <w:pStyle w:val="Heading2"/>
        <w:keepNext/>
      </w:pPr>
      <w:r>
        <w:t>Optional Grain Enrichments (Extension Layer Only)</w:t>
      </w:r>
    </w:p>
    <w:p>
      <w:pPr>
        <w:pStyle w:val="ListBullet"/>
        <w:spacing w:after="40"/>
        <w:ind w:left="360"/>
      </w:pPr>
      <w:r>
        <w:rPr>
          <w:b w:val="0"/>
          <w:sz w:val="20"/>
        </w:rPr>
        <w:t>Product Variant grain: only if COGS or pricing differs materially across variants</w:t>
      </w:r>
    </w:p>
    <w:p>
      <w:pPr>
        <w:pStyle w:val="ListBullet"/>
        <w:spacing w:after="40"/>
        <w:ind w:left="360"/>
      </w:pPr>
      <w:r>
        <w:rPr>
          <w:b w:val="0"/>
          <w:sz w:val="20"/>
        </w:rPr>
        <w:t>Weekly grain: near-term reforecasting within the current quarter</w:t>
      </w:r>
    </w:p>
    <w:p>
      <w:pPr>
        <w:pStyle w:val="ListBullet"/>
        <w:spacing w:after="40"/>
        <w:ind w:left="360"/>
      </w:pPr>
      <w:r>
        <w:rPr>
          <w:b w:val="0"/>
          <w:sz w:val="20"/>
        </w:rPr>
        <w:t>Daily grain: operational demand management (deferred to Phase 5)</w:t>
      </w:r>
    </w:p>
    <w:p>
      <w:pPr>
        <w:pStyle w:val="ListBullet"/>
        <w:spacing w:after="40"/>
        <w:ind w:left="360"/>
      </w:pPr>
      <w:r>
        <w:rPr>
          <w:b w:val="0"/>
          <w:sz w:val="20"/>
        </w:rPr>
        <w:t>Hourly grain: labor scheduling and kitchen planning (deferred to Phase 5)</w:t>
      </w:r>
    </w:p>
    <w:p>
      <w:r>
        <w:br w:type="page"/>
      </w:r>
    </w:p>
    <w:p>
      <w:pPr>
        <w:pStyle w:val="Heading1"/>
        <w:keepNext/>
      </w:pPr>
      <w:r>
        <w:t>13. Market &amp; Expansion Architecture</w:t>
      </w:r>
    </w:p>
    <w:p>
      <w:pPr>
        <w:pStyle w:val="Heading2"/>
        <w:keepNext/>
      </w:pPr>
      <w:r>
        <w:t>5-Level Geographic Hierarchy</w:t>
      </w:r>
    </w:p>
    <w:tbl>
      <w:tblPr>
        <w:tblStyle w:val="TableGrid"/>
        <w:tblW w:type="auto" w:w="0"/>
        <w:jc w:val="left"/>
        <w:tblLook w:firstColumn="1" w:firstRow="1" w:lastColumn="0" w:lastRow="0" w:noHBand="0" w:noVBand="1" w:val="04A0"/>
      </w:tblPr>
      <w:tblGrid>
        <w:gridCol w:w="3120"/>
        <w:gridCol w:w="3120"/>
        <w:gridCol w:w="3120"/>
      </w:tblGrid>
      <w:tr>
        <w:tc>
          <w:tcPr>
            <w:tcW w:type="dxa" w:w="720"/>
            <w:shd w:fill="1B3A6B" w:val="clear"/>
          </w:tcPr>
          <w:p>
            <w:pPr>
              <w:jc w:val="center"/>
              <w:keepLines/>
            </w:pPr>
            <w:r>
              <w:rPr>
                <w:b/>
                <w:color w:val="FFFFFF"/>
                <w:sz w:val="18"/>
              </w:rPr>
              <w:t>Level</w:t>
            </w:r>
          </w:p>
        </w:tc>
        <w:tc>
          <w:tcPr>
            <w:tcW w:type="dxa" w:w="2592"/>
            <w:shd w:fill="1B3A6B" w:val="clear"/>
          </w:tcPr>
          <w:p>
            <w:pPr>
              <w:jc w:val="center"/>
              <w:keepLines/>
            </w:pPr>
            <w:r>
              <w:rPr>
                <w:b/>
                <w:color w:val="FFFFFF"/>
                <w:sz w:val="18"/>
              </w:rPr>
              <w:t>Entity</w:t>
            </w:r>
          </w:p>
        </w:tc>
        <w:tc>
          <w:tcPr>
            <w:tcW w:type="dxa" w:w="6048"/>
            <w:shd w:fill="1B3A6B" w:val="clear"/>
          </w:tcPr>
          <w:p>
            <w:pPr>
              <w:jc w:val="center"/>
              <w:keepLines/>
            </w:pPr>
            <w:r>
              <w:rPr>
                <w:b/>
                <w:color w:val="FFFFFF"/>
                <w:sz w:val="18"/>
              </w:rPr>
              <w:t>Key Attributes</w:t>
            </w:r>
          </w:p>
        </w:tc>
      </w:tr>
      <w:tr>
        <w:tc>
          <w:tcPr>
            <w:tcW w:type="dxa" w:w="720"/>
          </w:tcPr>
          <w:p>
            <w:pPr>
              <w:jc w:val="left"/>
              <w:keepLines/>
            </w:pPr>
            <w:r>
              <w:rPr>
                <w:sz w:val="18"/>
              </w:rPr>
              <w:t>1</w:t>
            </w:r>
          </w:p>
        </w:tc>
        <w:tc>
          <w:tcPr>
            <w:tcW w:type="dxa" w:w="2592"/>
          </w:tcPr>
          <w:p>
            <w:pPr>
              <w:jc w:val="left"/>
              <w:keepLines/>
            </w:pPr>
            <w:r>
              <w:rPr>
                <w:sz w:val="18"/>
              </w:rPr>
              <w:t>Country</w:t>
            </w:r>
          </w:p>
        </w:tc>
        <w:tc>
          <w:tcPr>
            <w:tcW w:type="dxa" w:w="6048"/>
          </w:tcPr>
          <w:p>
            <w:pPr>
              <w:jc w:val="left"/>
              <w:keepLines/>
            </w:pPr>
            <w:r>
              <w:rPr>
                <w:sz w:val="18"/>
              </w:rPr>
              <w:t>Currency, Tax regime, Regulatory environment, Platform landscape, Macro-economic indicators</w:t>
            </w:r>
          </w:p>
        </w:tc>
      </w:tr>
      <w:tr>
        <w:tc>
          <w:tcPr>
            <w:tcW w:type="dxa" w:w="720"/>
            <w:shd w:fill="F0F4FA" w:val="clear"/>
          </w:tcPr>
          <w:p>
            <w:pPr>
              <w:jc w:val="left"/>
              <w:keepLines/>
            </w:pPr>
            <w:r>
              <w:rPr>
                <w:sz w:val="18"/>
              </w:rPr>
              <w:t>2</w:t>
            </w:r>
          </w:p>
        </w:tc>
        <w:tc>
          <w:tcPr>
            <w:tcW w:type="dxa" w:w="2592"/>
            <w:shd w:fill="F0F4FA" w:val="clear"/>
          </w:tcPr>
          <w:p>
            <w:pPr>
              <w:jc w:val="left"/>
              <w:keepLines/>
            </w:pPr>
            <w:r>
              <w:rPr>
                <w:sz w:val="18"/>
              </w:rPr>
              <w:t>Cluster (Region/Emirate)</w:t>
            </w:r>
          </w:p>
        </w:tc>
        <w:tc>
          <w:tcPr>
            <w:tcW w:type="dxa" w:w="6048"/>
            <w:shd w:fill="F0F4FA" w:val="clear"/>
          </w:tcPr>
          <w:p>
            <w:pPr>
              <w:jc w:val="left"/>
              <w:keepLines/>
            </w:pPr>
            <w:r>
              <w:rPr>
                <w:sz w:val="18"/>
              </w:rPr>
              <w:t>Regional supply chain, Taste preferences, Labor market, Logistics cost structure</w:t>
            </w:r>
          </w:p>
        </w:tc>
      </w:tr>
      <w:tr>
        <w:tc>
          <w:tcPr>
            <w:tcW w:type="dxa" w:w="720"/>
          </w:tcPr>
          <w:p>
            <w:pPr>
              <w:jc w:val="left"/>
              <w:keepLines/>
            </w:pPr>
            <w:r>
              <w:rPr>
                <w:sz w:val="18"/>
              </w:rPr>
              <w:t>3</w:t>
            </w:r>
          </w:p>
        </w:tc>
        <w:tc>
          <w:tcPr>
            <w:tcW w:type="dxa" w:w="2592"/>
          </w:tcPr>
          <w:p>
            <w:pPr>
              <w:jc w:val="left"/>
              <w:keepLines/>
            </w:pPr>
            <w:r>
              <w:rPr>
                <w:sz w:val="18"/>
              </w:rPr>
              <w:t>Macro (City)</w:t>
            </w:r>
          </w:p>
        </w:tc>
        <w:tc>
          <w:tcPr>
            <w:tcW w:type="dxa" w:w="6048"/>
          </w:tcPr>
          <w:p>
            <w:pPr>
              <w:jc w:val="left"/>
              <w:keepLines/>
            </w:pPr>
            <w:r>
              <w:rPr>
                <w:sz w:val="18"/>
              </w:rPr>
              <w:t>Delivery infrastructure, City-level competition density, Real estate cost tiers</w:t>
            </w:r>
          </w:p>
        </w:tc>
      </w:tr>
      <w:tr>
        <w:tc>
          <w:tcPr>
            <w:tcW w:type="dxa" w:w="720"/>
            <w:shd w:fill="F0F4FA" w:val="clear"/>
          </w:tcPr>
          <w:p>
            <w:pPr>
              <w:jc w:val="left"/>
              <w:keepLines/>
            </w:pPr>
            <w:r>
              <w:rPr>
                <w:sz w:val="18"/>
              </w:rPr>
              <w:t>4</w:t>
            </w:r>
          </w:p>
        </w:tc>
        <w:tc>
          <w:tcPr>
            <w:tcW w:type="dxa" w:w="2592"/>
            <w:shd w:fill="F0F4FA" w:val="clear"/>
          </w:tcPr>
          <w:p>
            <w:pPr>
              <w:jc w:val="left"/>
              <w:keepLines/>
            </w:pPr>
            <w:r>
              <w:rPr>
                <w:sz w:val="18"/>
              </w:rPr>
              <w:t>Micro (Area/Neighborhood)</w:t>
            </w:r>
          </w:p>
        </w:tc>
        <w:tc>
          <w:tcPr>
            <w:tcW w:type="dxa" w:w="6048"/>
            <w:shd w:fill="F0F4FA" w:val="clear"/>
          </w:tcPr>
          <w:p>
            <w:pPr>
              <w:jc w:val="left"/>
              <w:keepLines/>
            </w:pPr>
            <w:r>
              <w:rPr>
                <w:sz w:val="18"/>
              </w:rPr>
              <w:t>Area demographics, Local competition, Delivery radius, Demand proxies</w:t>
            </w:r>
          </w:p>
        </w:tc>
      </w:tr>
      <w:tr>
        <w:tc>
          <w:tcPr>
            <w:tcW w:type="dxa" w:w="720"/>
          </w:tcPr>
          <w:p>
            <w:pPr>
              <w:jc w:val="left"/>
              <w:keepLines/>
            </w:pPr>
            <w:r>
              <w:rPr>
                <w:sz w:val="18"/>
              </w:rPr>
              <w:t>5</w:t>
            </w:r>
          </w:p>
        </w:tc>
        <w:tc>
          <w:tcPr>
            <w:tcW w:type="dxa" w:w="2592"/>
          </w:tcPr>
          <w:p>
            <w:pPr>
              <w:jc w:val="left"/>
              <w:keepLines/>
            </w:pPr>
            <w:r>
              <w:rPr>
                <w:sz w:val="18"/>
              </w:rPr>
              <w:t>Kitchen</w:t>
            </w:r>
          </w:p>
        </w:tc>
        <w:tc>
          <w:tcPr>
            <w:tcW w:type="dxa" w:w="6048"/>
          </w:tcPr>
          <w:p>
            <w:pPr>
              <w:jc w:val="left"/>
              <w:keepLines/>
            </w:pPr>
            <w:r>
              <w:rPr>
                <w:sz w:val="18"/>
              </w:rPr>
              <w:t>Site address, Kitchen format, Capacity level, Operating hours, Lease terms</w:t>
            </w:r>
          </w:p>
        </w:tc>
      </w:tr>
    </w:tbl>
    <w:p/>
    <w:p>
      <w:pPr>
        <w:pStyle w:val="Heading2"/>
        <w:keepNext/>
      </w:pPr>
      <w:r>
        <w:t>Market Attractiveness Scoring Engine</w:t>
      </w:r>
    </w:p>
    <w:tbl>
      <w:tblPr>
        <w:tblStyle w:val="TableGrid"/>
        <w:tblW w:type="auto" w:w="0"/>
        <w:jc w:val="left"/>
        <w:tblLook w:firstColumn="1" w:firstRow="1" w:lastColumn="0" w:lastRow="0" w:noHBand="0" w:noVBand="1" w:val="04A0"/>
      </w:tblPr>
      <w:tblGrid>
        <w:gridCol w:w="3120"/>
        <w:gridCol w:w="3120"/>
        <w:gridCol w:w="3120"/>
      </w:tblGrid>
      <w:tr>
        <w:tc>
          <w:tcPr>
            <w:tcW w:type="dxa" w:w="2592"/>
            <w:shd w:fill="1B3A6B" w:val="clear"/>
          </w:tcPr>
          <w:p>
            <w:pPr>
              <w:jc w:val="center"/>
              <w:keepLines/>
            </w:pPr>
            <w:r>
              <w:rPr>
                <w:b/>
                <w:color w:val="FFFFFF"/>
                <w:sz w:val="18"/>
              </w:rPr>
              <w:t>Dimension</w:t>
            </w:r>
          </w:p>
        </w:tc>
        <w:tc>
          <w:tcPr>
            <w:tcW w:type="dxa" w:w="1008"/>
            <w:shd w:fill="1B3A6B" w:val="clear"/>
          </w:tcPr>
          <w:p>
            <w:pPr>
              <w:jc w:val="center"/>
              <w:keepLines/>
            </w:pPr>
            <w:r>
              <w:rPr>
                <w:b/>
                <w:color w:val="FFFFFF"/>
                <w:sz w:val="18"/>
              </w:rPr>
              <w:t>Weight</w:t>
            </w:r>
          </w:p>
        </w:tc>
        <w:tc>
          <w:tcPr>
            <w:tcW w:type="dxa" w:w="5760"/>
            <w:shd w:fill="1B3A6B" w:val="clear"/>
          </w:tcPr>
          <w:p>
            <w:pPr>
              <w:jc w:val="center"/>
              <w:keepLines/>
            </w:pPr>
            <w:r>
              <w:rPr>
                <w:b/>
                <w:color w:val="FFFFFF"/>
                <w:sz w:val="18"/>
              </w:rPr>
              <w:t>Key Inputs</w:t>
            </w:r>
          </w:p>
        </w:tc>
      </w:tr>
      <w:tr>
        <w:tc>
          <w:tcPr>
            <w:tcW w:type="dxa" w:w="2592"/>
          </w:tcPr>
          <w:p>
            <w:pPr>
              <w:jc w:val="left"/>
              <w:keepLines/>
            </w:pPr>
            <w:r>
              <w:rPr>
                <w:sz w:val="18"/>
              </w:rPr>
              <w:t>Demand Potential</w:t>
            </w:r>
          </w:p>
        </w:tc>
        <w:tc>
          <w:tcPr>
            <w:tcW w:type="dxa" w:w="1008"/>
          </w:tcPr>
          <w:p>
            <w:pPr>
              <w:jc w:val="left"/>
              <w:keepLines/>
            </w:pPr>
            <w:r>
              <w:rPr>
                <w:sz w:val="18"/>
              </w:rPr>
              <w:t>25%</w:t>
            </w:r>
          </w:p>
        </w:tc>
        <w:tc>
          <w:tcPr>
            <w:tcW w:type="dxa" w:w="5760"/>
          </w:tcPr>
          <w:p>
            <w:pPr>
              <w:jc w:val="left"/>
              <w:keepLines/>
            </w:pPr>
            <w:r>
              <w:rPr>
                <w:sz w:val="18"/>
              </w:rPr>
              <w:t>Population density, food delivery penetration %, pizza market share %</w:t>
            </w:r>
          </w:p>
        </w:tc>
      </w:tr>
      <w:tr>
        <w:tc>
          <w:tcPr>
            <w:tcW w:type="dxa" w:w="2592"/>
            <w:shd w:fill="F0F4FA" w:val="clear"/>
          </w:tcPr>
          <w:p>
            <w:pPr>
              <w:jc w:val="left"/>
              <w:keepLines/>
            </w:pPr>
            <w:r>
              <w:rPr>
                <w:sz w:val="18"/>
              </w:rPr>
              <w:t>Competitive Intensity</w:t>
            </w:r>
          </w:p>
        </w:tc>
        <w:tc>
          <w:tcPr>
            <w:tcW w:type="dxa" w:w="1008"/>
            <w:shd w:fill="F0F4FA" w:val="clear"/>
          </w:tcPr>
          <w:p>
            <w:pPr>
              <w:jc w:val="left"/>
              <w:keepLines/>
            </w:pPr>
            <w:r>
              <w:rPr>
                <w:sz w:val="18"/>
              </w:rPr>
              <w:t>20%</w:t>
            </w:r>
          </w:p>
        </w:tc>
        <w:tc>
          <w:tcPr>
            <w:tcW w:type="dxa" w:w="5760"/>
            <w:shd w:fill="F0F4FA" w:val="clear"/>
          </w:tcPr>
          <w:p>
            <w:pPr>
              <w:jc w:val="left"/>
              <w:keepLines/>
            </w:pPr>
            <w:r>
              <w:rPr>
                <w:sz w:val="18"/>
              </w:rPr>
              <w:t>Competitor count in micro, HHI concentration, average ratings, response capability</w:t>
            </w:r>
          </w:p>
        </w:tc>
      </w:tr>
      <w:tr>
        <w:tc>
          <w:tcPr>
            <w:tcW w:type="dxa" w:w="2592"/>
          </w:tcPr>
          <w:p>
            <w:pPr>
              <w:jc w:val="left"/>
              <w:keepLines/>
            </w:pPr>
            <w:r>
              <w:rPr>
                <w:sz w:val="18"/>
              </w:rPr>
              <w:t>Unit Economics</w:t>
            </w:r>
          </w:p>
        </w:tc>
        <w:tc>
          <w:tcPr>
            <w:tcW w:type="dxa" w:w="1008"/>
          </w:tcPr>
          <w:p>
            <w:pPr>
              <w:jc w:val="left"/>
              <w:keepLines/>
            </w:pPr>
            <w:r>
              <w:rPr>
                <w:sz w:val="18"/>
              </w:rPr>
              <w:t>20%</w:t>
            </w:r>
          </w:p>
        </w:tc>
        <w:tc>
          <w:tcPr>
            <w:tcW w:type="dxa" w:w="5760"/>
          </w:tcPr>
          <w:p>
            <w:pPr>
              <w:jc w:val="left"/>
              <w:keepLines/>
            </w:pPr>
            <w:r>
              <w:rPr>
                <w:sz w:val="18"/>
              </w:rPr>
              <w:t>Rent/sqft, labor cost index, achievable ASP, prevailing commission rates</w:t>
            </w:r>
          </w:p>
        </w:tc>
      </w:tr>
      <w:tr>
        <w:tc>
          <w:tcPr>
            <w:tcW w:type="dxa" w:w="2592"/>
            <w:shd w:fill="F0F4FA" w:val="clear"/>
          </w:tcPr>
          <w:p>
            <w:pPr>
              <w:jc w:val="left"/>
              <w:keepLines/>
            </w:pPr>
            <w:r>
              <w:rPr>
                <w:sz w:val="18"/>
              </w:rPr>
              <w:t>Operational Feasibility</w:t>
            </w:r>
          </w:p>
        </w:tc>
        <w:tc>
          <w:tcPr>
            <w:tcW w:type="dxa" w:w="1008"/>
            <w:shd w:fill="F0F4FA" w:val="clear"/>
          </w:tcPr>
          <w:p>
            <w:pPr>
              <w:jc w:val="left"/>
              <w:keepLines/>
            </w:pPr>
            <w:r>
              <w:rPr>
                <w:sz w:val="18"/>
              </w:rPr>
              <w:t>15%</w:t>
            </w:r>
          </w:p>
        </w:tc>
        <w:tc>
          <w:tcPr>
            <w:tcW w:type="dxa" w:w="5760"/>
            <w:shd w:fill="F0F4FA" w:val="clear"/>
          </w:tcPr>
          <w:p>
            <w:pPr>
              <w:jc w:val="left"/>
              <w:keepLines/>
            </w:pPr>
            <w:r>
              <w:rPr>
                <w:sz w:val="18"/>
              </w:rPr>
              <w:t>Kitchen space availability, supply chain proximity, licensing complexity</w:t>
            </w:r>
          </w:p>
        </w:tc>
      </w:tr>
      <w:tr>
        <w:tc>
          <w:tcPr>
            <w:tcW w:type="dxa" w:w="2592"/>
          </w:tcPr>
          <w:p>
            <w:pPr>
              <w:jc w:val="left"/>
              <w:keepLines/>
            </w:pPr>
            <w:r>
              <w:rPr>
                <w:sz w:val="18"/>
              </w:rPr>
              <w:t>Strategic Fit</w:t>
            </w:r>
          </w:p>
        </w:tc>
        <w:tc>
          <w:tcPr>
            <w:tcW w:type="dxa" w:w="1008"/>
          </w:tcPr>
          <w:p>
            <w:pPr>
              <w:jc w:val="left"/>
              <w:keepLines/>
            </w:pPr>
            <w:r>
              <w:rPr>
                <w:sz w:val="18"/>
              </w:rPr>
              <w:t>10%</w:t>
            </w:r>
          </w:p>
        </w:tc>
        <w:tc>
          <w:tcPr>
            <w:tcW w:type="dxa" w:w="5760"/>
          </w:tcPr>
          <w:p>
            <w:pPr>
              <w:jc w:val="left"/>
              <w:keepLines/>
            </w:pPr>
            <w:r>
              <w:rPr>
                <w:sz w:val="18"/>
              </w:rPr>
              <w:t>Proximity to existing operations, brand positioning fit, cluster synergies</w:t>
            </w:r>
          </w:p>
        </w:tc>
      </w:tr>
      <w:tr>
        <w:tc>
          <w:tcPr>
            <w:tcW w:type="dxa" w:w="2592"/>
            <w:shd w:fill="F0F4FA" w:val="clear"/>
          </w:tcPr>
          <w:p>
            <w:pPr>
              <w:jc w:val="left"/>
              <w:keepLines/>
            </w:pPr>
            <w:r>
              <w:rPr>
                <w:sz w:val="18"/>
              </w:rPr>
              <w:t>Growth Trajectory</w:t>
            </w:r>
          </w:p>
        </w:tc>
        <w:tc>
          <w:tcPr>
            <w:tcW w:type="dxa" w:w="1008"/>
            <w:shd w:fill="F0F4FA" w:val="clear"/>
          </w:tcPr>
          <w:p>
            <w:pPr>
              <w:jc w:val="left"/>
              <w:keepLines/>
            </w:pPr>
            <w:r>
              <w:rPr>
                <w:sz w:val="18"/>
              </w:rPr>
              <w:t>10%</w:t>
            </w:r>
          </w:p>
        </w:tc>
        <w:tc>
          <w:tcPr>
            <w:tcW w:type="dxa" w:w="5760"/>
            <w:shd w:fill="F0F4FA" w:val="clear"/>
          </w:tcPr>
          <w:p>
            <w:pPr>
              <w:jc w:val="left"/>
              <w:keepLines/>
            </w:pPr>
            <w:r>
              <w:rPr>
                <w:sz w:val="18"/>
              </w:rPr>
              <w:t>Market growth rate YoY, platform expansion plans, demographic trends</w:t>
            </w:r>
          </w:p>
        </w:tc>
      </w:tr>
      <w:tr>
        <w:tc>
          <w:tcPr>
            <w:tcW w:type="dxa" w:w="2592"/>
          </w:tcPr>
          <w:p>
            <w:pPr>
              <w:jc w:val="left"/>
              <w:keepLines/>
            </w:pPr>
            <w:r>
              <w:rPr>
                <w:sz w:val="18"/>
              </w:rPr>
              <w:t>Total</w:t>
            </w:r>
          </w:p>
        </w:tc>
        <w:tc>
          <w:tcPr>
            <w:tcW w:type="dxa" w:w="1008"/>
          </w:tcPr>
          <w:p>
            <w:pPr>
              <w:jc w:val="left"/>
              <w:keepLines/>
            </w:pPr>
            <w:r>
              <w:rPr>
                <w:sz w:val="18"/>
              </w:rPr>
              <w:t>100%</w:t>
            </w:r>
          </w:p>
        </w:tc>
        <w:tc>
          <w:tcPr>
            <w:tcW w:type="dxa" w:w="5760"/>
          </w:tcPr>
          <w:p>
            <w:pPr>
              <w:jc w:val="left"/>
              <w:keepLines/>
            </w:pPr>
            <w:r>
              <w:rPr>
                <w:sz w:val="18"/>
              </w:rPr>
              <w:t>Composite score 0-100 + dimension scores + confidence interval + ranking table</w:t>
            </w:r>
          </w:p>
        </w:tc>
      </w:tr>
    </w:tbl>
    <w:p/>
    <w:p>
      <w:pPr>
        <w:pStyle w:val="Heading2"/>
        <w:keepNext/>
      </w:pPr>
      <w:r>
        <w:t>Expansion Trigger Logic</w:t>
      </w:r>
    </w:p>
    <w:tbl>
      <w:tblPr>
        <w:tblStyle w:val="TableGrid"/>
        <w:tblW w:type="auto" w:w="0"/>
        <w:jc w:val="left"/>
        <w:tblLook w:firstColumn="1" w:firstRow="1" w:lastColumn="0" w:lastRow="0" w:noHBand="0" w:noVBand="1" w:val="04A0"/>
      </w:tblPr>
      <w:tblGrid>
        <w:gridCol w:w="3120"/>
        <w:gridCol w:w="3120"/>
        <w:gridCol w:w="3120"/>
      </w:tblGrid>
      <w:tr>
        <w:tc>
          <w:tcPr>
            <w:tcW w:type="dxa" w:w="1872"/>
            <w:shd w:fill="1B3A6B" w:val="clear"/>
          </w:tcPr>
          <w:p>
            <w:pPr>
              <w:jc w:val="center"/>
              <w:keepLines/>
            </w:pPr>
            <w:r>
              <w:rPr>
                <w:b/>
                <w:color w:val="FFFFFF"/>
                <w:sz w:val="18"/>
              </w:rPr>
              <w:t>Level</w:t>
            </w:r>
          </w:p>
        </w:tc>
        <w:tc>
          <w:tcPr>
            <w:tcW w:type="dxa" w:w="4608"/>
            <w:shd w:fill="1B3A6B" w:val="clear"/>
          </w:tcPr>
          <w:p>
            <w:pPr>
              <w:jc w:val="center"/>
              <w:keepLines/>
            </w:pPr>
            <w:r>
              <w:rPr>
                <w:b/>
                <w:color w:val="FFFFFF"/>
                <w:sz w:val="18"/>
              </w:rPr>
              <w:t>Trigger Condition</w:t>
            </w:r>
          </w:p>
        </w:tc>
        <w:tc>
          <w:tcPr>
            <w:tcW w:type="dxa" w:w="2880"/>
            <w:shd w:fill="1B3A6B" w:val="clear"/>
          </w:tcPr>
          <w:p>
            <w:pPr>
              <w:jc w:val="center"/>
              <w:keepLines/>
            </w:pPr>
            <w:r>
              <w:rPr>
                <w:b/>
                <w:color w:val="FFFFFF"/>
                <w:sz w:val="18"/>
              </w:rPr>
              <w:t>Action</w:t>
            </w:r>
          </w:p>
        </w:tc>
      </w:tr>
      <w:tr>
        <w:tc>
          <w:tcPr>
            <w:tcW w:type="dxa" w:w="1872"/>
          </w:tcPr>
          <w:p>
            <w:pPr>
              <w:jc w:val="left"/>
              <w:keepLines/>
            </w:pPr>
            <w:r>
              <w:rPr>
                <w:sz w:val="18"/>
              </w:rPr>
              <w:t>Intra-Macro</w:t>
            </w:r>
          </w:p>
        </w:tc>
        <w:tc>
          <w:tcPr>
            <w:tcW w:type="dxa" w:w="4608"/>
          </w:tcPr>
          <w:p>
            <w:pPr>
              <w:jc w:val="left"/>
              <w:keepLines/>
            </w:pPr>
            <w:r>
              <w:rPr>
                <w:sz w:val="18"/>
              </w:rPr>
              <w:t>Micro A at 80% avg peak utilization for 2+ weeks AND EBITDA positive</w:t>
            </w:r>
          </w:p>
        </w:tc>
        <w:tc>
          <w:tcPr>
            <w:tcW w:type="dxa" w:w="2880"/>
          </w:tcPr>
          <w:p>
            <w:pPr>
              <w:jc w:val="left"/>
              <w:keepLines/>
            </w:pPr>
            <w:r>
              <w:rPr>
                <w:sz w:val="18"/>
              </w:rPr>
              <w:t>Launch Micro B</w:t>
            </w:r>
          </w:p>
        </w:tc>
      </w:tr>
      <w:tr>
        <w:tc>
          <w:tcPr>
            <w:tcW w:type="dxa" w:w="1872"/>
            <w:shd w:fill="F0F4FA" w:val="clear"/>
          </w:tcPr>
          <w:p>
            <w:pPr>
              <w:jc w:val="left"/>
              <w:keepLines/>
            </w:pPr>
            <w:r>
              <w:rPr>
                <w:sz w:val="18"/>
              </w:rPr>
              <w:t>Capital Gate</w:t>
            </w:r>
          </w:p>
        </w:tc>
        <w:tc>
          <w:tcPr>
            <w:tcW w:type="dxa" w:w="4608"/>
            <w:shd w:fill="F0F4FA" w:val="clear"/>
          </w:tcPr>
          <w:p>
            <w:pPr>
              <w:jc w:val="left"/>
              <w:keepLines/>
            </w:pPr>
            <w:r>
              <w:rPr>
                <w:sz w:val="18"/>
              </w:rPr>
              <w:t>Available capital &gt; next micro setup + 4 months working capital</w:t>
            </w:r>
          </w:p>
        </w:tc>
        <w:tc>
          <w:tcPr>
            <w:tcW w:type="dxa" w:w="2880"/>
            <w:shd w:fill="F0F4FA" w:val="clear"/>
          </w:tcPr>
          <w:p>
            <w:pPr>
              <w:jc w:val="left"/>
              <w:keepLines/>
            </w:pPr>
            <w:r>
              <w:rPr>
                <w:sz w:val="18"/>
              </w:rPr>
              <w:t>Unlock next phase</w:t>
            </w:r>
          </w:p>
        </w:tc>
      </w:tr>
      <w:tr>
        <w:tc>
          <w:tcPr>
            <w:tcW w:type="dxa" w:w="1872"/>
          </w:tcPr>
          <w:p>
            <w:pPr>
              <w:jc w:val="left"/>
              <w:keepLines/>
            </w:pPr>
            <w:r>
              <w:rPr>
                <w:sz w:val="18"/>
              </w:rPr>
              <w:t>Intra-Cluster</w:t>
            </w:r>
          </w:p>
        </w:tc>
        <w:tc>
          <w:tcPr>
            <w:tcW w:type="dxa" w:w="4608"/>
          </w:tcPr>
          <w:p>
            <w:pPr>
              <w:jc w:val="left"/>
              <w:keepLines/>
            </w:pPr>
            <w:r>
              <w:rPr>
                <w:sz w:val="18"/>
              </w:rPr>
              <w:t>X% of current macro micros EBITDA positive AND macro EBITDA &gt; 12%</w:t>
            </w:r>
          </w:p>
        </w:tc>
        <w:tc>
          <w:tcPr>
            <w:tcW w:type="dxa" w:w="2880"/>
          </w:tcPr>
          <w:p>
            <w:pPr>
              <w:jc w:val="left"/>
              <w:keepLines/>
            </w:pPr>
            <w:r>
              <w:rPr>
                <w:sz w:val="18"/>
              </w:rPr>
              <w:t>Enter new Macro (City)</w:t>
            </w:r>
          </w:p>
        </w:tc>
      </w:tr>
      <w:tr>
        <w:tc>
          <w:tcPr>
            <w:tcW w:type="dxa" w:w="1872"/>
            <w:shd w:fill="F0F4FA" w:val="clear"/>
          </w:tcPr>
          <w:p>
            <w:pPr>
              <w:jc w:val="left"/>
              <w:keepLines/>
            </w:pPr>
            <w:r>
              <w:rPr>
                <w:sz w:val="18"/>
              </w:rPr>
              <w:t>Intra-Country</w:t>
            </w:r>
          </w:p>
        </w:tc>
        <w:tc>
          <w:tcPr>
            <w:tcW w:type="dxa" w:w="4608"/>
            <w:shd w:fill="F0F4FA" w:val="clear"/>
          </w:tcPr>
          <w:p>
            <w:pPr>
              <w:jc w:val="left"/>
              <w:keepLines/>
            </w:pPr>
            <w:r>
              <w:rPr>
                <w:sz w:val="18"/>
              </w:rPr>
              <w:t>Current cluster EBITDA margin &gt; 15% for 3 months AND cash &gt; 6 months cover</w:t>
            </w:r>
          </w:p>
        </w:tc>
        <w:tc>
          <w:tcPr>
            <w:tcW w:type="dxa" w:w="2880"/>
            <w:shd w:fill="F0F4FA" w:val="clear"/>
          </w:tcPr>
          <w:p>
            <w:pPr>
              <w:jc w:val="left"/>
              <w:keepLines/>
            </w:pPr>
            <w:r>
              <w:rPr>
                <w:sz w:val="18"/>
              </w:rPr>
              <w:t>Enter new Cluster</w:t>
            </w:r>
          </w:p>
        </w:tc>
      </w:tr>
      <w:tr>
        <w:tc>
          <w:tcPr>
            <w:tcW w:type="dxa" w:w="1872"/>
          </w:tcPr>
          <w:p>
            <w:pPr>
              <w:jc w:val="left"/>
              <w:keepLines/>
            </w:pPr>
            <w:r>
              <w:rPr>
                <w:sz w:val="18"/>
              </w:rPr>
              <w:t>Safety Gate</w:t>
            </w:r>
          </w:p>
        </w:tc>
        <w:tc>
          <w:tcPr>
            <w:tcW w:type="dxa" w:w="4608"/>
          </w:tcPr>
          <w:p>
            <w:pPr>
              <w:jc w:val="left"/>
              <w:keepLines/>
            </w:pPr>
            <w:r>
              <w:rPr>
                <w:sz w:val="18"/>
              </w:rPr>
              <w:t>Cash runway &lt; 4 months</w:t>
            </w:r>
          </w:p>
        </w:tc>
        <w:tc>
          <w:tcPr>
            <w:tcW w:type="dxa" w:w="2880"/>
          </w:tcPr>
          <w:p>
            <w:pPr>
              <w:jc w:val="left"/>
              <w:keepLines/>
            </w:pPr>
            <w:r>
              <w:rPr>
                <w:sz w:val="18"/>
              </w:rPr>
              <w:t>Freeze ALL expansion</w:t>
            </w:r>
          </w:p>
        </w:tc>
      </w:tr>
    </w:tbl>
    <w:p/>
    <w:p>
      <w:pPr>
        <w:spacing w:before="0" w:after="80"/>
        <w:jc w:val="left"/>
      </w:pPr>
      <w:r>
        <w:rPr>
          <w:b w:val="0"/>
          <w:i/>
          <w:sz w:val="19"/>
        </w:rPr>
        <w:t>Cannibalization rule: New micro delivery radius must not overlap existing micro by more than 25%.</w:t>
      </w:r>
    </w:p>
    <w:p/>
    <w:p>
      <w:pPr>
        <w:pStyle w:val="Heading2"/>
        <w:keepNext/>
      </w:pPr>
      <w:r>
        <w:t>Expansion Timeline Output</w:t>
      </w:r>
    </w:p>
    <w:p>
      <w:pPr>
        <w:spacing w:before="0" w:after="80"/>
        <w:jc w:val="left"/>
      </w:pPr>
      <w:r>
        <w:rPr>
          <w:b w:val="0"/>
          <w:i w:val="0"/>
          <w:sz w:val="20"/>
        </w:rPr>
        <w:t>The engine produces a 60-month Expansion Gantt showing: micro launches, macro entries, cluster entries, capital deployment milestones, trigger status per phase, cumulative kitchen count, and cumulative revenue ramp. The Gantt is regenerated on every planning cycle and feeds directly into the Cash Flow Projection engine.</w:t>
      </w:r>
    </w:p>
    <w:p>
      <w:r>
        <w:br w:type="page"/>
      </w:r>
    </w:p>
    <w:p>
      <w:pPr>
        <w:pStyle w:val="Heading1"/>
        <w:keepNext/>
      </w:pPr>
      <w:r>
        <w:t>14. Portfolio &amp; Decision Intelligence</w:t>
      </w:r>
    </w:p>
    <w:p>
      <w:pPr>
        <w:pStyle w:val="Heading2"/>
        <w:keepNext/>
      </w:pPr>
      <w:r>
        <w:t>Portfolio Construction Framework</w:t>
      </w:r>
    </w:p>
    <w:p>
      <w:pPr>
        <w:pStyle w:val="ListNumber"/>
        <w:spacing w:after="40"/>
        <w:ind w:left="360"/>
      </w:pPr>
      <w:r>
        <w:rPr>
          <w:sz w:val="20"/>
        </w:rPr>
        <w:t>Rank all micros/macros by Risk-Adjusted ROIC</w:t>
      </w:r>
    </w:p>
    <w:p>
      <w:pPr>
        <w:pStyle w:val="ListNumber"/>
        <w:spacing w:after="40"/>
        <w:ind w:left="360"/>
      </w:pPr>
      <w:r>
        <w:rPr>
          <w:sz w:val="20"/>
        </w:rPr>
        <w:t>Allocate capital to highest return opportunities first</w:t>
      </w:r>
    </w:p>
    <w:p>
      <w:pPr>
        <w:pStyle w:val="ListNumber"/>
        <w:spacing w:after="40"/>
        <w:ind w:left="360"/>
      </w:pPr>
      <w:r>
        <w:rPr>
          <w:sz w:val="20"/>
        </w:rPr>
        <w:t>Enforce concentration limits (no single micro &gt;40% of portfolio capital)</w:t>
      </w:r>
    </w:p>
    <w:p>
      <w:pPr>
        <w:pStyle w:val="ListNumber"/>
        <w:spacing w:after="40"/>
        <w:ind w:left="360"/>
      </w:pPr>
      <w:r>
        <w:rPr>
          <w:sz w:val="20"/>
        </w:rPr>
        <w:t>Model cash consumption stacking across planned launches</w:t>
      </w:r>
    </w:p>
    <w:p>
      <w:pPr>
        <w:pStyle w:val="ListNumber"/>
        <w:spacing w:after="40"/>
        <w:ind w:left="360"/>
      </w:pPr>
      <w:r>
        <w:rPr>
          <w:sz w:val="20"/>
        </w:rPr>
        <w:t>Identify cross-market supply chain leverage (shared commissary benefits)</w:t>
      </w:r>
    </w:p>
    <w:p>
      <w:pPr>
        <w:pStyle w:val="ListNumber"/>
        <w:spacing w:after="40"/>
        <w:ind w:left="360"/>
      </w:pPr>
      <w:r>
        <w:rPr>
          <w:sz w:val="20"/>
        </w:rPr>
        <w:t>Rebalance annually as actuals diverge from plan</w:t>
      </w:r>
    </w:p>
    <w:p/>
    <w:p>
      <w:pPr>
        <w:pStyle w:val="Heading2"/>
        <w:keepNext/>
      </w:pPr>
      <w:r>
        <w:t>Portfolio Health Metrics</w:t>
      </w:r>
    </w:p>
    <w:tbl>
      <w:tblPr>
        <w:tblStyle w:val="TableGrid"/>
        <w:tblW w:type="auto" w:w="0"/>
        <w:jc w:val="left"/>
        <w:tblLook w:firstColumn="1" w:firstRow="1" w:lastColumn="0" w:lastRow="0" w:noHBand="0" w:noVBand="1" w:val="04A0"/>
      </w:tblPr>
      <w:tblGrid>
        <w:gridCol w:w="4680"/>
        <w:gridCol w:w="4680"/>
      </w:tblGrid>
      <w:tr>
        <w:tc>
          <w:tcPr>
            <w:tcW w:type="dxa" w:w="5040"/>
            <w:shd w:fill="1B3A6B" w:val="clear"/>
          </w:tcPr>
          <w:p>
            <w:pPr>
              <w:jc w:val="center"/>
              <w:keepLines/>
            </w:pPr>
            <w:r>
              <w:rPr>
                <w:b/>
                <w:color w:val="FFFFFF"/>
                <w:sz w:val="18"/>
              </w:rPr>
              <w:t>Metric</w:t>
            </w:r>
          </w:p>
        </w:tc>
        <w:tc>
          <w:tcPr>
            <w:tcW w:type="dxa" w:w="4320"/>
            <w:shd w:fill="1B3A6B" w:val="clear"/>
          </w:tcPr>
          <w:p>
            <w:pPr>
              <w:jc w:val="center"/>
              <w:keepLines/>
            </w:pPr>
            <w:r>
              <w:rPr>
                <w:b/>
                <w:color w:val="FFFFFF"/>
                <w:sz w:val="18"/>
              </w:rPr>
              <w:t>Target Band</w:t>
            </w:r>
          </w:p>
        </w:tc>
      </w:tr>
      <w:tr>
        <w:tc>
          <w:tcPr>
            <w:tcW w:type="dxa" w:w="5040"/>
          </w:tcPr>
          <w:p>
            <w:pPr>
              <w:jc w:val="left"/>
              <w:keepLines/>
            </w:pPr>
            <w:r>
              <w:rPr>
                <w:sz w:val="18"/>
              </w:rPr>
              <w:t>Portfolio ROIC</w:t>
            </w:r>
          </w:p>
        </w:tc>
        <w:tc>
          <w:tcPr>
            <w:tcW w:type="dxa" w:w="4320"/>
          </w:tcPr>
          <w:p>
            <w:pPr>
              <w:jc w:val="left"/>
              <w:keepLines/>
            </w:pPr>
            <w:r>
              <w:rPr>
                <w:sz w:val="18"/>
              </w:rPr>
              <w:t>&gt; 25% blended</w:t>
            </w:r>
          </w:p>
        </w:tc>
      </w:tr>
      <w:tr>
        <w:tc>
          <w:tcPr>
            <w:tcW w:type="dxa" w:w="5040"/>
            <w:shd w:fill="F0F4FA" w:val="clear"/>
          </w:tcPr>
          <w:p>
            <w:pPr>
              <w:jc w:val="left"/>
              <w:keepLines/>
            </w:pPr>
            <w:r>
              <w:rPr>
                <w:sz w:val="18"/>
              </w:rPr>
              <w:t>EBITDA-positive micros %</w:t>
            </w:r>
          </w:p>
        </w:tc>
        <w:tc>
          <w:tcPr>
            <w:tcW w:type="dxa" w:w="4320"/>
            <w:shd w:fill="F0F4FA" w:val="clear"/>
          </w:tcPr>
          <w:p>
            <w:pPr>
              <w:jc w:val="left"/>
              <w:keepLines/>
            </w:pPr>
            <w:r>
              <w:rPr>
                <w:sz w:val="18"/>
              </w:rPr>
              <w:t>&gt; 60% by Month 18</w:t>
            </w:r>
          </w:p>
        </w:tc>
      </w:tr>
      <w:tr>
        <w:tc>
          <w:tcPr>
            <w:tcW w:type="dxa" w:w="5040"/>
          </w:tcPr>
          <w:p>
            <w:pPr>
              <w:jc w:val="left"/>
              <w:keepLines/>
            </w:pPr>
            <w:r>
              <w:rPr>
                <w:sz w:val="18"/>
              </w:rPr>
              <w:t>Capital concentration (top micro)</w:t>
            </w:r>
          </w:p>
        </w:tc>
        <w:tc>
          <w:tcPr>
            <w:tcW w:type="dxa" w:w="4320"/>
          </w:tcPr>
          <w:p>
            <w:pPr>
              <w:jc w:val="left"/>
              <w:keepLines/>
            </w:pPr>
            <w:r>
              <w:rPr>
                <w:sz w:val="18"/>
              </w:rPr>
              <w:t>&lt; 40%</w:t>
            </w:r>
          </w:p>
        </w:tc>
      </w:tr>
      <w:tr>
        <w:tc>
          <w:tcPr>
            <w:tcW w:type="dxa" w:w="5040"/>
            <w:shd w:fill="F0F4FA" w:val="clear"/>
          </w:tcPr>
          <w:p>
            <w:pPr>
              <w:jc w:val="left"/>
              <w:keepLines/>
            </w:pPr>
            <w:r>
              <w:rPr>
                <w:sz w:val="18"/>
              </w:rPr>
              <w:t>Cash consumption stacking</w:t>
            </w:r>
          </w:p>
        </w:tc>
        <w:tc>
          <w:tcPr>
            <w:tcW w:type="dxa" w:w="4320"/>
            <w:shd w:fill="F0F4FA" w:val="clear"/>
          </w:tcPr>
          <w:p>
            <w:pPr>
              <w:jc w:val="left"/>
              <w:keepLines/>
            </w:pPr>
            <w:r>
              <w:rPr>
                <w:sz w:val="18"/>
              </w:rPr>
              <w:t>Max 3 launches in parallel</w:t>
            </w:r>
          </w:p>
        </w:tc>
      </w:tr>
      <w:tr>
        <w:tc>
          <w:tcPr>
            <w:tcW w:type="dxa" w:w="5040"/>
          </w:tcPr>
          <w:p>
            <w:pPr>
              <w:jc w:val="left"/>
              <w:keepLines/>
            </w:pPr>
            <w:r>
              <w:rPr>
                <w:sz w:val="18"/>
              </w:rPr>
              <w:t>Expansion capital reserve</w:t>
            </w:r>
          </w:p>
        </w:tc>
        <w:tc>
          <w:tcPr>
            <w:tcW w:type="dxa" w:w="4320"/>
          </w:tcPr>
          <w:p>
            <w:pPr>
              <w:jc w:val="left"/>
              <w:keepLines/>
            </w:pPr>
            <w:r>
              <w:rPr>
                <w:sz w:val="18"/>
              </w:rPr>
              <w:t>6 months ahead of trigger</w:t>
            </w:r>
          </w:p>
        </w:tc>
      </w:tr>
    </w:tbl>
    <w:p/>
    <w:p>
      <w:pPr>
        <w:pStyle w:val="Heading2"/>
        <w:keepNext/>
      </w:pPr>
      <w:r>
        <w:t>Decision Memory &amp; Institutional Learning</w:t>
      </w:r>
    </w:p>
    <w:p>
      <w:pPr>
        <w:spacing w:before="0" w:after="80"/>
        <w:jc w:val="left"/>
        <w:keepNext/>
      </w:pPr>
      <w:r>
        <w:rPr>
          <w:b/>
          <w:i w:val="0"/>
          <w:sz w:val="20"/>
        </w:rPr>
        <w:t>Decision Log</w:t>
      </w:r>
    </w:p>
    <w:p>
      <w:pPr>
        <w:pStyle w:val="ListBullet"/>
        <w:spacing w:after="40"/>
        <w:ind w:left="360"/>
      </w:pPr>
      <w:r>
        <w:rPr>
          <w:b w:val="0"/>
          <w:sz w:val="20"/>
        </w:rPr>
        <w:t>Decision type (launch / pause / price change / hire / exit)</w:t>
      </w:r>
    </w:p>
    <w:p>
      <w:pPr>
        <w:pStyle w:val="ListBullet"/>
        <w:spacing w:after="40"/>
        <w:ind w:left="360"/>
      </w:pPr>
      <w:r>
        <w:rPr>
          <w:b w:val="0"/>
          <w:sz w:val="20"/>
        </w:rPr>
        <w:t>Decision maker &amp; date</w:t>
      </w:r>
    </w:p>
    <w:p>
      <w:pPr>
        <w:pStyle w:val="ListBullet"/>
        <w:spacing w:after="40"/>
        <w:ind w:left="360"/>
      </w:pPr>
      <w:r>
        <w:rPr>
          <w:b w:val="0"/>
          <w:sz w:val="20"/>
        </w:rPr>
        <w:t>Supporting assumptions at time of decision</w:t>
      </w:r>
    </w:p>
    <w:p>
      <w:pPr>
        <w:pStyle w:val="ListBullet"/>
        <w:spacing w:after="40"/>
        <w:ind w:left="360"/>
      </w:pPr>
      <w:r>
        <w:rPr>
          <w:b w:val="0"/>
          <w:sz w:val="20"/>
        </w:rPr>
        <w:t>Expected outcome at time of decision</w:t>
      </w:r>
    </w:p>
    <w:p>
      <w:pPr>
        <w:pStyle w:val="ListBullet"/>
        <w:spacing w:after="40"/>
        <w:ind w:left="360"/>
      </w:pPr>
      <w:r>
        <w:rPr>
          <w:b w:val="0"/>
          <w:sz w:val="20"/>
        </w:rPr>
        <w:t>Actual outcome (filled in retrospectively)</w:t>
      </w:r>
    </w:p>
    <w:p/>
    <w:p>
      <w:pPr>
        <w:spacing w:before="0" w:after="80"/>
        <w:jc w:val="left"/>
        <w:keepNext/>
      </w:pPr>
      <w:r>
        <w:rPr>
          <w:b/>
          <w:i w:val="0"/>
          <w:sz w:val="20"/>
        </w:rPr>
        <w:t>Assumption Lineage</w:t>
      </w:r>
    </w:p>
    <w:p>
      <w:pPr>
        <w:pStyle w:val="ListBullet"/>
        <w:spacing w:after="40"/>
        <w:ind w:left="360"/>
      </w:pPr>
      <w:r>
        <w:rPr>
          <w:b w:val="0"/>
          <w:sz w:val="20"/>
        </w:rPr>
        <w:t>Original assumption (at plan v1)</w:t>
      </w:r>
    </w:p>
    <w:p>
      <w:pPr>
        <w:pStyle w:val="ListBullet"/>
        <w:spacing w:after="40"/>
        <w:ind w:left="360"/>
      </w:pPr>
      <w:r>
        <w:rPr>
          <w:b w:val="0"/>
          <w:sz w:val="20"/>
        </w:rPr>
        <w:t>Revised assumptions over time with timestamps</w:t>
      </w:r>
    </w:p>
    <w:p>
      <w:pPr>
        <w:pStyle w:val="ListBullet"/>
        <w:spacing w:after="40"/>
        <w:ind w:left="360"/>
      </w:pPr>
      <w:r>
        <w:rPr>
          <w:b w:val="0"/>
          <w:sz w:val="20"/>
        </w:rPr>
        <w:t>Reason for revision</w:t>
      </w:r>
    </w:p>
    <w:p>
      <w:pPr>
        <w:pStyle w:val="ListBullet"/>
        <w:spacing w:after="40"/>
        <w:ind w:left="360"/>
      </w:pPr>
      <w:r>
        <w:rPr>
          <w:b w:val="0"/>
          <w:sz w:val="20"/>
        </w:rPr>
        <w:t>Owner of change</w:t>
      </w:r>
    </w:p>
    <w:p>
      <w:pPr>
        <w:pStyle w:val="ListBullet"/>
        <w:spacing w:after="40"/>
        <w:ind w:left="360"/>
      </w:pPr>
      <w:r>
        <w:rPr>
          <w:b w:val="0"/>
          <w:sz w:val="20"/>
        </w:rPr>
        <w:t>Impact on projections (quantified delta)</w:t>
      </w:r>
    </w:p>
    <w:p/>
    <w:p>
      <w:pPr>
        <w:spacing w:before="0" w:after="80"/>
        <w:jc w:val="left"/>
        <w:keepNext/>
      </w:pPr>
      <w:r>
        <w:rPr>
          <w:b/>
          <w:i w:val="0"/>
          <w:sz w:val="20"/>
        </w:rPr>
        <w:t>Learning Loop</w:t>
      </w:r>
    </w:p>
    <w:p>
      <w:pPr>
        <w:pStyle w:val="ListBullet"/>
        <w:spacing w:after="40"/>
        <w:ind w:left="360"/>
      </w:pPr>
      <w:r>
        <w:rPr>
          <w:b w:val="0"/>
          <w:sz w:val="20"/>
        </w:rPr>
        <w:t>Compare Assumed vs Actual by driver after each planning cycle</w:t>
      </w:r>
    </w:p>
    <w:p>
      <w:pPr>
        <w:pStyle w:val="ListBullet"/>
        <w:spacing w:after="40"/>
        <w:ind w:left="360"/>
      </w:pPr>
      <w:r>
        <w:rPr>
          <w:b w:val="0"/>
          <w:sz w:val="20"/>
        </w:rPr>
        <w:t>Identify systematic over/under estimates across cycles</w:t>
      </w:r>
    </w:p>
    <w:p>
      <w:pPr>
        <w:pStyle w:val="ListBullet"/>
        <w:spacing w:after="40"/>
        <w:ind w:left="360"/>
      </w:pPr>
      <w:r>
        <w:rPr>
          <w:b w:val="0"/>
          <w:sz w:val="20"/>
        </w:rPr>
        <w:t>Recalibrate model defaults based on historical accuracy</w:t>
      </w:r>
    </w:p>
    <w:p>
      <w:pPr>
        <w:pStyle w:val="ListBullet"/>
        <w:spacing w:after="40"/>
        <w:ind w:left="360"/>
      </w:pPr>
      <w:r>
        <w:rPr>
          <w:b w:val="0"/>
          <w:sz w:val="20"/>
        </w:rPr>
        <w:t>Flag consistently inaccurate assumptions for priority validation</w:t>
      </w:r>
    </w:p>
    <w:p>
      <w:pPr>
        <w:pStyle w:val="ListBullet"/>
        <w:spacing w:after="40"/>
        <w:ind w:left="360"/>
      </w:pPr>
      <w:r>
        <w:rPr>
          <w:b w:val="0"/>
          <w:sz w:val="20"/>
        </w:rPr>
        <w:t>Improve future planning accuracy automatically through feedback loops</w:t>
      </w:r>
    </w:p>
    <w:p>
      <w:r>
        <w:br w:type="page"/>
      </w:r>
    </w:p>
    <w:p>
      <w:pPr>
        <w:pStyle w:val="Heading1"/>
        <w:keepNext/>
      </w:pPr>
      <w:r>
        <w:t>15. Optional Extension Layer</w:t>
      </w:r>
    </w:p>
    <w:p>
      <w:pPr>
        <w:spacing w:before="0" w:after="80"/>
        <w:jc w:val="left"/>
      </w:pPr>
      <w:r>
        <w:rPr>
          <w:b w:val="0"/>
          <w:i w:val="0"/>
          <w:sz w:val="20"/>
        </w:rPr>
        <w:t>These modules are explicitly excluded from Core v1. They are deferred because they do not materially affect financial planning decisions within the 6-18 month window. They are properly scoped and sequenced for later delivery phases.</w:t>
      </w:r>
    </w:p>
    <w:p/>
    <w:tbl>
      <w:tblPr>
        <w:tblStyle w:val="TableGrid"/>
        <w:tblW w:type="auto" w:w="0"/>
        <w:jc w:val="left"/>
        <w:tblLook w:firstColumn="1" w:firstRow="1" w:lastColumn="0" w:lastRow="0" w:noHBand="0" w:noVBand="1" w:val="04A0"/>
      </w:tblPr>
      <w:tblGrid>
        <w:gridCol w:w="3120"/>
        <w:gridCol w:w="3120"/>
        <w:gridCol w:w="3120"/>
      </w:tblGrid>
      <w:tr>
        <w:tc>
          <w:tcPr>
            <w:tcW w:type="dxa" w:w="2592"/>
            <w:shd w:fill="1B3A6B" w:val="clear"/>
          </w:tcPr>
          <w:p>
            <w:pPr>
              <w:jc w:val="center"/>
              <w:keepLines/>
            </w:pPr>
            <w:r>
              <w:rPr>
                <w:b/>
                <w:color w:val="FFFFFF"/>
                <w:sz w:val="18"/>
              </w:rPr>
              <w:t>Module</w:t>
            </w:r>
          </w:p>
        </w:tc>
        <w:tc>
          <w:tcPr>
            <w:tcW w:type="dxa" w:w="4896"/>
            <w:shd w:fill="1B3A6B" w:val="clear"/>
          </w:tcPr>
          <w:p>
            <w:pPr>
              <w:jc w:val="center"/>
              <w:keepLines/>
            </w:pPr>
            <w:r>
              <w:rPr>
                <w:b/>
                <w:color w:val="FFFFFF"/>
                <w:sz w:val="18"/>
              </w:rPr>
              <w:t>Deferral Reason</w:t>
            </w:r>
          </w:p>
        </w:tc>
        <w:tc>
          <w:tcPr>
            <w:tcW w:type="dxa" w:w="1440"/>
            <w:shd w:fill="1B3A6B" w:val="clear"/>
          </w:tcPr>
          <w:p>
            <w:pPr>
              <w:jc w:val="center"/>
              <w:keepLines/>
            </w:pPr>
            <w:r>
              <w:rPr>
                <w:b/>
                <w:color w:val="FFFFFF"/>
                <w:sz w:val="18"/>
              </w:rPr>
              <w:t>Target Phase</w:t>
            </w:r>
          </w:p>
        </w:tc>
      </w:tr>
      <w:tr>
        <w:tc>
          <w:tcPr>
            <w:tcW w:type="dxa" w:w="2592"/>
          </w:tcPr>
          <w:p>
            <w:pPr>
              <w:jc w:val="left"/>
              <w:keepLines/>
            </w:pPr>
            <w:r>
              <w:rPr>
                <w:sz w:val="18"/>
              </w:rPr>
              <w:t>Order-level Actuals</w:t>
            </w:r>
          </w:p>
        </w:tc>
        <w:tc>
          <w:tcPr>
            <w:tcW w:type="dxa" w:w="4896"/>
          </w:tcPr>
          <w:p>
            <w:pPr>
              <w:jc w:val="left"/>
              <w:keepLines/>
            </w:pPr>
            <w:r>
              <w:rPr>
                <w:sz w:val="18"/>
              </w:rPr>
              <w:t>Operational fidelity not required for planning; needed only for actuals bridge</w:t>
            </w:r>
          </w:p>
        </w:tc>
        <w:tc>
          <w:tcPr>
            <w:tcW w:type="dxa" w:w="1440"/>
          </w:tcPr>
          <w:p>
            <w:pPr>
              <w:jc w:val="left"/>
              <w:keepLines/>
            </w:pPr>
            <w:r>
              <w:rPr>
                <w:sz w:val="18"/>
              </w:rPr>
              <w:t>Phase 4</w:t>
            </w:r>
          </w:p>
        </w:tc>
      </w:tr>
      <w:tr>
        <w:tc>
          <w:tcPr>
            <w:tcW w:type="dxa" w:w="2592"/>
            <w:shd w:fill="F0F4FA" w:val="clear"/>
          </w:tcPr>
          <w:p>
            <w:pPr>
              <w:jc w:val="left"/>
              <w:keepLines/>
            </w:pPr>
            <w:r>
              <w:rPr>
                <w:sz w:val="18"/>
              </w:rPr>
              <w:t>Intraday Demand Forecasting</w:t>
            </w:r>
          </w:p>
        </w:tc>
        <w:tc>
          <w:tcPr>
            <w:tcW w:type="dxa" w:w="4896"/>
            <w:shd w:fill="F0F4FA" w:val="clear"/>
          </w:tcPr>
          <w:p>
            <w:pPr>
              <w:jc w:val="left"/>
              <w:keepLines/>
            </w:pPr>
            <w:r>
              <w:rPr>
                <w:sz w:val="18"/>
              </w:rPr>
              <w:t>Operational optimization, not financial planning</w:t>
            </w:r>
          </w:p>
        </w:tc>
        <w:tc>
          <w:tcPr>
            <w:tcW w:type="dxa" w:w="1440"/>
            <w:shd w:fill="F0F4FA" w:val="clear"/>
          </w:tcPr>
          <w:p>
            <w:pPr>
              <w:jc w:val="left"/>
              <w:keepLines/>
            </w:pPr>
            <w:r>
              <w:rPr>
                <w:sz w:val="18"/>
              </w:rPr>
              <w:t>Phase 5</w:t>
            </w:r>
          </w:p>
        </w:tc>
      </w:tr>
      <w:tr>
        <w:tc>
          <w:tcPr>
            <w:tcW w:type="dxa" w:w="2592"/>
          </w:tcPr>
          <w:p>
            <w:pPr>
              <w:jc w:val="left"/>
              <w:keepLines/>
            </w:pPr>
            <w:r>
              <w:rPr>
                <w:sz w:val="18"/>
              </w:rPr>
              <w:t>Kitchen Station Operations</w:t>
            </w:r>
          </w:p>
        </w:tc>
        <w:tc>
          <w:tcPr>
            <w:tcW w:type="dxa" w:w="4896"/>
          </w:tcPr>
          <w:p>
            <w:pPr>
              <w:jc w:val="left"/>
              <w:keepLines/>
            </w:pPr>
            <w:r>
              <w:rPr>
                <w:sz w:val="18"/>
              </w:rPr>
              <w:t>Physical workflow optimization outside planning scope</w:t>
            </w:r>
          </w:p>
        </w:tc>
        <w:tc>
          <w:tcPr>
            <w:tcW w:type="dxa" w:w="1440"/>
          </w:tcPr>
          <w:p>
            <w:pPr>
              <w:jc w:val="left"/>
              <w:keepLines/>
            </w:pPr>
            <w:r>
              <w:rPr>
                <w:sz w:val="18"/>
              </w:rPr>
              <w:t>Phase 5</w:t>
            </w:r>
          </w:p>
        </w:tc>
      </w:tr>
      <w:tr>
        <w:tc>
          <w:tcPr>
            <w:tcW w:type="dxa" w:w="2592"/>
            <w:shd w:fill="F0F4FA" w:val="clear"/>
          </w:tcPr>
          <w:p>
            <w:pPr>
              <w:jc w:val="left"/>
              <w:keepLines/>
            </w:pPr>
            <w:r>
              <w:rPr>
                <w:sz w:val="18"/>
              </w:rPr>
              <w:t>Modifier Analytics</w:t>
            </w:r>
          </w:p>
        </w:tc>
        <w:tc>
          <w:tcPr>
            <w:tcW w:type="dxa" w:w="4896"/>
            <w:shd w:fill="F0F4FA" w:val="clear"/>
          </w:tcPr>
          <w:p>
            <w:pPr>
              <w:jc w:val="left"/>
              <w:keepLines/>
            </w:pPr>
            <w:r>
              <w:rPr>
                <w:sz w:val="18"/>
              </w:rPr>
              <w:t>Detail level beyond financial materiality threshold</w:t>
            </w:r>
          </w:p>
        </w:tc>
        <w:tc>
          <w:tcPr>
            <w:tcW w:type="dxa" w:w="1440"/>
            <w:shd w:fill="F0F4FA" w:val="clear"/>
          </w:tcPr>
          <w:p>
            <w:pPr>
              <w:jc w:val="left"/>
              <w:keepLines/>
            </w:pPr>
            <w:r>
              <w:rPr>
                <w:sz w:val="18"/>
              </w:rPr>
              <w:t>Phase 4</w:t>
            </w:r>
          </w:p>
        </w:tc>
      </w:tr>
      <w:tr>
        <w:tc>
          <w:tcPr>
            <w:tcW w:type="dxa" w:w="2592"/>
          </w:tcPr>
          <w:p>
            <w:pPr>
              <w:jc w:val="left"/>
              <w:keepLines/>
            </w:pPr>
            <w:r>
              <w:rPr>
                <w:sz w:val="18"/>
              </w:rPr>
              <w:t>Workforce Scheduling</w:t>
            </w:r>
          </w:p>
        </w:tc>
        <w:tc>
          <w:tcPr>
            <w:tcW w:type="dxa" w:w="4896"/>
          </w:tcPr>
          <w:p>
            <w:pPr>
              <w:jc w:val="left"/>
              <w:keepLines/>
            </w:pPr>
            <w:r>
              <w:rPr>
                <w:sz w:val="18"/>
              </w:rPr>
              <w:t>HR operations domain, not financial planning</w:t>
            </w:r>
          </w:p>
        </w:tc>
        <w:tc>
          <w:tcPr>
            <w:tcW w:type="dxa" w:w="1440"/>
          </w:tcPr>
          <w:p>
            <w:pPr>
              <w:jc w:val="left"/>
              <w:keepLines/>
            </w:pPr>
            <w:r>
              <w:rPr>
                <w:sz w:val="18"/>
              </w:rPr>
              <w:t>Phase 5</w:t>
            </w:r>
          </w:p>
        </w:tc>
      </w:tr>
      <w:tr>
        <w:tc>
          <w:tcPr>
            <w:tcW w:type="dxa" w:w="2592"/>
            <w:shd w:fill="F0F4FA" w:val="clear"/>
          </w:tcPr>
          <w:p>
            <w:pPr>
              <w:jc w:val="left"/>
              <w:keepLines/>
            </w:pPr>
            <w:r>
              <w:rPr>
                <w:sz w:val="18"/>
              </w:rPr>
              <w:t>Real-time Telemetry</w:t>
            </w:r>
          </w:p>
        </w:tc>
        <w:tc>
          <w:tcPr>
            <w:tcW w:type="dxa" w:w="4896"/>
            <w:shd w:fill="F0F4FA" w:val="clear"/>
          </w:tcPr>
          <w:p>
            <w:pPr>
              <w:jc w:val="left"/>
              <w:keepLines/>
            </w:pPr>
            <w:r>
              <w:rPr>
                <w:sz w:val="18"/>
              </w:rPr>
              <w:t>BI/Analytics layer, not planning system</w:t>
            </w:r>
          </w:p>
        </w:tc>
        <w:tc>
          <w:tcPr>
            <w:tcW w:type="dxa" w:w="1440"/>
            <w:shd w:fill="F0F4FA" w:val="clear"/>
          </w:tcPr>
          <w:p>
            <w:pPr>
              <w:jc w:val="left"/>
              <w:keepLines/>
            </w:pPr>
            <w:r>
              <w:rPr>
                <w:sz w:val="18"/>
              </w:rPr>
              <w:t>Phase 4</w:t>
            </w:r>
          </w:p>
        </w:tc>
      </w:tr>
      <w:tr>
        <w:tc>
          <w:tcPr>
            <w:tcW w:type="dxa" w:w="2592"/>
          </w:tcPr>
          <w:p>
            <w:pPr>
              <w:jc w:val="left"/>
              <w:keepLines/>
            </w:pPr>
            <w:r>
              <w:rPr>
                <w:sz w:val="18"/>
              </w:rPr>
              <w:t>Ingredient BOM Detail</w:t>
            </w:r>
          </w:p>
        </w:tc>
        <w:tc>
          <w:tcPr>
            <w:tcW w:type="dxa" w:w="4896"/>
          </w:tcPr>
          <w:p>
            <w:pPr>
              <w:jc w:val="left"/>
              <w:keepLines/>
            </w:pPr>
            <w:r>
              <w:rPr>
                <w:sz w:val="18"/>
              </w:rPr>
              <w:t>Useful for COGS accuracy but not required for planning-level projections</w:t>
            </w:r>
          </w:p>
        </w:tc>
        <w:tc>
          <w:tcPr>
            <w:tcW w:type="dxa" w:w="1440"/>
          </w:tcPr>
          <w:p>
            <w:pPr>
              <w:jc w:val="left"/>
              <w:keepLines/>
            </w:pPr>
            <w:r>
              <w:rPr>
                <w:sz w:val="18"/>
              </w:rPr>
              <w:t>Phase 3</w:t>
            </w:r>
          </w:p>
        </w:tc>
      </w:tr>
      <w:tr>
        <w:tc>
          <w:tcPr>
            <w:tcW w:type="dxa" w:w="2592"/>
            <w:shd w:fill="F0F4FA" w:val="clear"/>
          </w:tcPr>
          <w:p>
            <w:pPr>
              <w:jc w:val="left"/>
              <w:keepLines/>
            </w:pPr>
            <w:r>
              <w:rPr>
                <w:sz w:val="18"/>
              </w:rPr>
              <w:t>Full Actuals Ingestion Pipeline</w:t>
            </w:r>
          </w:p>
        </w:tc>
        <w:tc>
          <w:tcPr>
            <w:tcW w:type="dxa" w:w="4896"/>
            <w:shd w:fill="F0F4FA" w:val="clear"/>
          </w:tcPr>
          <w:p>
            <w:pPr>
              <w:jc w:val="left"/>
              <w:keepLines/>
            </w:pPr>
            <w:r>
              <w:rPr>
                <w:sz w:val="18"/>
              </w:rPr>
              <w:t>Requires operational system integration; deferred post-launch</w:t>
            </w:r>
          </w:p>
        </w:tc>
        <w:tc>
          <w:tcPr>
            <w:tcW w:type="dxa" w:w="1440"/>
            <w:shd w:fill="F0F4FA" w:val="clear"/>
          </w:tcPr>
          <w:p>
            <w:pPr>
              <w:jc w:val="left"/>
              <w:keepLines/>
            </w:pPr>
            <w:r>
              <w:rPr>
                <w:sz w:val="18"/>
              </w:rPr>
              <w:t>Phase 4</w:t>
            </w:r>
          </w:p>
        </w:tc>
      </w:tr>
    </w:tbl>
    <w:p>
      <w:r>
        <w:br w:type="page"/>
      </w:r>
    </w:p>
    <w:p>
      <w:pPr>
        <w:pStyle w:val="Heading1"/>
        <w:keepNext/>
      </w:pPr>
      <w:r>
        <w:t>16. Technology Architecture</w:t>
      </w:r>
    </w:p>
    <w:p>
      <w:pPr>
        <w:spacing w:before="0" w:after="80"/>
        <w:jc w:val="left"/>
      </w:pPr>
      <w:r>
        <w:rPr>
          <w:b w:val="0"/>
          <w:i w:val="0"/>
          <w:sz w:val="20"/>
        </w:rPr>
        <w:t>The technology stack is designed for a web-based, role-aware, real-time-recalculating planning application. All integrations are optional and deferred to Phase 4+.</w:t>
      </w:r>
    </w:p>
    <w:p/>
    <w:tbl>
      <w:tblPr>
        <w:tblStyle w:val="TableGrid"/>
        <w:tblW w:type="auto" w:w="0"/>
        <w:jc w:val="left"/>
        <w:tblLook w:firstColumn="1" w:firstRow="1" w:lastColumn="0" w:lastRow="0" w:noHBand="0" w:noVBand="1" w:val="04A0"/>
      </w:tblPr>
      <w:tblGrid>
        <w:gridCol w:w="3120"/>
        <w:gridCol w:w="3120"/>
        <w:gridCol w:w="3120"/>
      </w:tblGrid>
      <w:tr>
        <w:tc>
          <w:tcPr>
            <w:tcW w:type="dxa" w:w="2016"/>
            <w:shd w:fill="1B3A6B" w:val="clear"/>
          </w:tcPr>
          <w:p>
            <w:pPr>
              <w:jc w:val="center"/>
              <w:keepLines/>
            </w:pPr>
            <w:r>
              <w:rPr>
                <w:b/>
                <w:color w:val="FFFFFF"/>
                <w:sz w:val="18"/>
              </w:rPr>
              <w:t>Layer</w:t>
            </w:r>
          </w:p>
        </w:tc>
        <w:tc>
          <w:tcPr>
            <w:tcW w:type="dxa" w:w="4608"/>
            <w:shd w:fill="1B3A6B" w:val="clear"/>
          </w:tcPr>
          <w:p>
            <w:pPr>
              <w:jc w:val="center"/>
              <w:keepLines/>
            </w:pPr>
            <w:r>
              <w:rPr>
                <w:b/>
                <w:color w:val="FFFFFF"/>
                <w:sz w:val="18"/>
              </w:rPr>
              <w:t>Components</w:t>
            </w:r>
          </w:p>
        </w:tc>
        <w:tc>
          <w:tcPr>
            <w:tcW w:type="dxa" w:w="2736"/>
            <w:shd w:fill="1B3A6B" w:val="clear"/>
          </w:tcPr>
          <w:p>
            <w:pPr>
              <w:jc w:val="center"/>
              <w:keepLines/>
            </w:pPr>
            <w:r>
              <w:rPr>
                <w:b/>
                <w:color w:val="FFFFFF"/>
                <w:sz w:val="18"/>
              </w:rPr>
              <w:t>Notes</w:t>
            </w:r>
          </w:p>
        </w:tc>
      </w:tr>
      <w:tr>
        <w:tc>
          <w:tcPr>
            <w:tcW w:type="dxa" w:w="2016"/>
          </w:tcPr>
          <w:p>
            <w:pPr>
              <w:jc w:val="left"/>
              <w:keepLines/>
            </w:pPr>
            <w:r>
              <w:rPr>
                <w:sz w:val="18"/>
              </w:rPr>
              <w:t>UI Layer</w:t>
            </w:r>
          </w:p>
        </w:tc>
        <w:tc>
          <w:tcPr>
            <w:tcW w:type="dxa" w:w="4608"/>
          </w:tcPr>
          <w:p>
            <w:pPr>
              <w:jc w:val="left"/>
              <w:keepLines/>
            </w:pPr>
            <w:r>
              <w:rPr>
                <w:sz w:val="18"/>
              </w:rPr>
              <w:t>React / Next.js SPA; Role-based views; Persistent planning controls; Real-time recalculation; Export Engine</w:t>
            </w:r>
          </w:p>
        </w:tc>
        <w:tc>
          <w:tcPr>
            <w:tcW w:type="dxa" w:w="2736"/>
          </w:tcPr>
          <w:p>
            <w:pPr>
              <w:jc w:val="left"/>
              <w:keepLines/>
            </w:pPr>
            <w:r>
              <w:rPr>
                <w:sz w:val="18"/>
              </w:rPr>
              <w:t>Desktop-first; responsive for tablet</w:t>
            </w:r>
          </w:p>
        </w:tc>
      </w:tr>
      <w:tr>
        <w:tc>
          <w:tcPr>
            <w:tcW w:type="dxa" w:w="2016"/>
            <w:shd w:fill="F0F4FA" w:val="clear"/>
          </w:tcPr>
          <w:p>
            <w:pPr>
              <w:jc w:val="left"/>
              <w:keepLines/>
            </w:pPr>
            <w:r>
              <w:rPr>
                <w:sz w:val="18"/>
              </w:rPr>
              <w:t>Computation Layer</w:t>
            </w:r>
          </w:p>
        </w:tc>
        <w:tc>
          <w:tcPr>
            <w:tcW w:type="dxa" w:w="4608"/>
            <w:shd w:fill="F0F4FA" w:val="clear"/>
          </w:tcPr>
          <w:p>
            <w:pPr>
              <w:jc w:val="left"/>
              <w:keepLines/>
            </w:pPr>
            <w:r>
              <w:rPr>
                <w:sz w:val="18"/>
              </w:rPr>
              <w:t>Node.js / Python API; Projection Engine; Scenario Engine; Monte Carlo Engine; Explainability Engine</w:t>
            </w:r>
          </w:p>
        </w:tc>
        <w:tc>
          <w:tcPr>
            <w:tcW w:type="dxa" w:w="2736"/>
            <w:shd w:fill="F0F4FA" w:val="clear"/>
          </w:tcPr>
          <w:p>
            <w:pPr>
              <w:jc w:val="left"/>
              <w:keepLines/>
            </w:pPr>
            <w:r>
              <w:rPr>
                <w:sz w:val="18"/>
              </w:rPr>
              <w:t>Async job queue for heavy computations</w:t>
            </w:r>
          </w:p>
        </w:tc>
      </w:tr>
      <w:tr>
        <w:tc>
          <w:tcPr>
            <w:tcW w:type="dxa" w:w="2016"/>
          </w:tcPr>
          <w:p>
            <w:pPr>
              <w:jc w:val="left"/>
              <w:keepLines/>
            </w:pPr>
            <w:r>
              <w:rPr>
                <w:sz w:val="18"/>
              </w:rPr>
              <w:t>Data Layer</w:t>
            </w:r>
          </w:p>
        </w:tc>
        <w:tc>
          <w:tcPr>
            <w:tcW w:type="dxa" w:w="4608"/>
          </w:tcPr>
          <w:p>
            <w:pPr>
              <w:jc w:val="left"/>
              <w:keepLines/>
            </w:pPr>
            <w:r>
              <w:rPr>
                <w:sz w:val="18"/>
              </w:rPr>
              <w:t>PostgreSQL (Core); Redis (Cache / Real-time); TimescaleDB (Time-series KPIs); S3 (Plan snapshots)</w:t>
            </w:r>
          </w:p>
        </w:tc>
        <w:tc>
          <w:tcPr>
            <w:tcW w:type="dxa" w:w="2736"/>
          </w:tcPr>
          <w:p>
            <w:pPr>
              <w:jc w:val="left"/>
              <w:keepLines/>
            </w:pPr>
            <w:r>
              <w:rPr>
                <w:sz w:val="18"/>
              </w:rPr>
              <w:t>UUID primary keys; soft deletes; audit trails</w:t>
            </w:r>
          </w:p>
        </w:tc>
      </w:tr>
      <w:tr>
        <w:tc>
          <w:tcPr>
            <w:tcW w:type="dxa" w:w="2016"/>
            <w:shd w:fill="F0F4FA" w:val="clear"/>
          </w:tcPr>
          <w:p>
            <w:pPr>
              <w:jc w:val="left"/>
              <w:keepLines/>
            </w:pPr>
            <w:r>
              <w:rPr>
                <w:sz w:val="18"/>
              </w:rPr>
              <w:t>Auth &amp; Multi-tenancy</w:t>
            </w:r>
          </w:p>
        </w:tc>
        <w:tc>
          <w:tcPr>
            <w:tcW w:type="dxa" w:w="4608"/>
            <w:shd w:fill="F0F4FA" w:val="clear"/>
          </w:tcPr>
          <w:p>
            <w:pPr>
              <w:jc w:val="left"/>
              <w:keepLines/>
            </w:pPr>
            <w:r>
              <w:rPr>
                <w:sz w:val="18"/>
              </w:rPr>
              <w:t>JWT Bearer tokens; Tenant isolation by company_id; RBAC (Admin / Planner / Viewer / Approver)</w:t>
            </w:r>
          </w:p>
        </w:tc>
        <w:tc>
          <w:tcPr>
            <w:tcW w:type="dxa" w:w="2736"/>
            <w:shd w:fill="F0F4FA" w:val="clear"/>
          </w:tcPr>
          <w:p>
            <w:pPr>
              <w:jc w:val="left"/>
              <w:keepLines/>
            </w:pPr>
            <w:r>
              <w:rPr>
                <w:sz w:val="18"/>
              </w:rPr>
              <w:t>SOC 2 Type II target</w:t>
            </w:r>
          </w:p>
        </w:tc>
      </w:tr>
      <w:tr>
        <w:tc>
          <w:tcPr>
            <w:tcW w:type="dxa" w:w="2016"/>
          </w:tcPr>
          <w:p>
            <w:pPr>
              <w:jc w:val="left"/>
              <w:keepLines/>
            </w:pPr>
            <w:r>
              <w:rPr>
                <w:sz w:val="18"/>
              </w:rPr>
              <w:t>Integrations (Optional Phase 4+)</w:t>
            </w:r>
          </w:p>
        </w:tc>
        <w:tc>
          <w:tcPr>
            <w:tcW w:type="dxa" w:w="4608"/>
          </w:tcPr>
          <w:p>
            <w:pPr>
              <w:jc w:val="left"/>
              <w:keepLines/>
            </w:pPr>
            <w:r>
              <w:rPr>
                <w:sz w:val="18"/>
              </w:rPr>
              <w:t>Platform APIs (Aggregators); Accounting (Xero / QuickBooks); HRIS; Commodity Price Feeds</w:t>
            </w:r>
          </w:p>
        </w:tc>
        <w:tc>
          <w:tcPr>
            <w:tcW w:type="dxa" w:w="2736"/>
          </w:tcPr>
          <w:p>
            <w:pPr>
              <w:jc w:val="left"/>
              <w:keepLines/>
            </w:pPr>
            <w:r>
              <w:rPr>
                <w:sz w:val="18"/>
              </w:rPr>
              <w:t>Webhook-based; not required for core planning</w:t>
            </w:r>
          </w:p>
        </w:tc>
      </w:tr>
    </w:tbl>
    <w:p>
      <w:r>
        <w:br w:type="page"/>
      </w:r>
    </w:p>
    <w:p>
      <w:pPr>
        <w:pStyle w:val="Heading1"/>
        <w:keepNext/>
      </w:pPr>
      <w:r>
        <w:t>17. Scope Boundary Summary</w:t>
      </w:r>
    </w:p>
    <w:p>
      <w:pPr>
        <w:spacing w:before="0" w:after="80"/>
        <w:jc w:val="left"/>
      </w:pPr>
      <w:r>
        <w:rPr>
          <w:b w:val="0"/>
          <w:i w:val="0"/>
          <w:sz w:val="20"/>
        </w:rPr>
        <w:t>Clear boundary between what is in scope for Core v1 and what is deferred to Optional Extension.</w:t>
      </w:r>
    </w:p>
    <w:p/>
    <w:tbl>
      <w:tblPr>
        <w:tblStyle w:val="TableGrid"/>
        <w:tblW w:type="auto" w:w="0"/>
        <w:tblLook w:firstColumn="1" w:firstRow="1" w:lastColumn="0" w:lastRow="0" w:noHBand="0" w:noVBand="1" w:val="04A0"/>
      </w:tblPr>
      <w:tblGrid>
        <w:gridCol w:w="4680"/>
        <w:gridCol w:w="4680"/>
      </w:tblGrid>
      <w:tr>
        <w:tc>
          <w:tcPr>
            <w:tcW w:type="dxa" w:w="4608"/>
            <w:shd w:fill="1B6B35" w:val="clear"/>
          </w:tcPr>
          <w:p>
            <w:pPr>
              <w:jc w:val="center"/>
              <w:keepLines/>
            </w:pPr>
            <w:r>
              <w:rPr>
                <w:b/>
                <w:color w:val="FFFFFF"/>
                <w:sz w:val="22"/>
              </w:rPr>
              <w:t>IN SCOPE — Core v1</w:t>
            </w:r>
          </w:p>
        </w:tc>
        <w:tc>
          <w:tcPr>
            <w:tcW w:type="dxa" w:w="4752"/>
            <w:shd w:fill="B71C1C" w:val="clear"/>
          </w:tcPr>
          <w:p>
            <w:pPr>
              <w:jc w:val="center"/>
              <w:keepLines/>
            </w:pPr>
            <w:r>
              <w:rPr>
                <w:b/>
                <w:color w:val="FFFFFF"/>
                <w:sz w:val="22"/>
              </w:rPr>
              <w:t>OUT OF SCOPE — Optional Extension</w:t>
            </w:r>
          </w:p>
        </w:tc>
      </w:tr>
      <w:tr>
        <w:tc>
          <w:tcPr>
            <w:tcW w:type="dxa" w:w="4608"/>
            <w:shd w:fill="F0FFF4" w:val="clear"/>
          </w:tcPr>
          <w:p>
            <w:pPr>
              <w:keepLines/>
            </w:pPr>
            <w:r>
              <w:rPr>
                <w:color w:val="1B6B35"/>
                <w:sz w:val="19"/>
              </w:rPr>
              <w:t>+ Planning Spine &amp; Governance</w:t>
            </w:r>
          </w:p>
        </w:tc>
        <w:tc>
          <w:tcPr>
            <w:tcW w:type="dxa" w:w="4752"/>
            <w:shd w:fill="FFF5F5" w:val="clear"/>
          </w:tcPr>
          <w:p>
            <w:pPr>
              <w:keepLines/>
            </w:pPr>
            <w:r>
              <w:rPr>
                <w:color w:val="B71C1C"/>
                <w:sz w:val="19"/>
              </w:rPr>
              <w:t>- Raw order headers &amp; order lines</w:t>
            </w:r>
          </w:p>
        </w:tc>
      </w:tr>
      <w:tr>
        <w:tc>
          <w:tcPr>
            <w:tcW w:type="dxa" w:w="4608"/>
            <w:shd w:fill="F0FFF4" w:val="clear"/>
          </w:tcPr>
          <w:p>
            <w:pPr>
              <w:keepLines/>
            </w:pPr>
            <w:r>
              <w:rPr>
                <w:color w:val="1B6B35"/>
                <w:sz w:val="19"/>
              </w:rPr>
              <w:t>+ Commercial, Cost &amp; Funding Drivers</w:t>
            </w:r>
          </w:p>
        </w:tc>
        <w:tc>
          <w:tcPr>
            <w:tcW w:type="dxa" w:w="4752"/>
            <w:shd w:fill="FFF5F5" w:val="clear"/>
          </w:tcPr>
          <w:p>
            <w:pPr>
              <w:keepLines/>
            </w:pPr>
            <w:r>
              <w:rPr>
                <w:color w:val="B71C1C"/>
                <w:sz w:val="19"/>
              </w:rPr>
              <w:t>- Modifier-level product analytics</w:t>
            </w:r>
          </w:p>
        </w:tc>
      </w:tr>
      <w:tr>
        <w:tc>
          <w:tcPr>
            <w:tcW w:type="dxa" w:w="4608"/>
            <w:shd w:fill="F0FFF4" w:val="clear"/>
          </w:tcPr>
          <w:p>
            <w:pPr>
              <w:keepLines/>
            </w:pPr>
            <w:r>
              <w:rPr>
                <w:color w:val="1B6B35"/>
                <w:sz w:val="19"/>
              </w:rPr>
              <w:t>+ P&amp;L, Cash Flow &amp; Balance Sheet Projections</w:t>
            </w:r>
          </w:p>
        </w:tc>
        <w:tc>
          <w:tcPr>
            <w:tcW w:type="dxa" w:w="4752"/>
            <w:shd w:fill="FFF5F5" w:val="clear"/>
          </w:tcPr>
          <w:p>
            <w:pPr>
              <w:keepLines/>
            </w:pPr>
            <w:r>
              <w:rPr>
                <w:color w:val="B71C1C"/>
                <w:sz w:val="19"/>
              </w:rPr>
              <w:t>- Intraday time buckets (30-min)</w:t>
            </w:r>
          </w:p>
        </w:tc>
      </w:tr>
      <w:tr>
        <w:tc>
          <w:tcPr>
            <w:tcW w:type="dxa" w:w="4608"/>
            <w:shd w:fill="F0FFF4" w:val="clear"/>
          </w:tcPr>
          <w:p>
            <w:pPr>
              <w:keepLines/>
            </w:pPr>
            <w:r>
              <w:rPr>
                <w:color w:val="1B6B35"/>
                <w:sz w:val="19"/>
              </w:rPr>
              <w:t>+ 21 Core KPIs &amp; Explainability Bridges</w:t>
            </w:r>
          </w:p>
        </w:tc>
        <w:tc>
          <w:tcPr>
            <w:tcW w:type="dxa" w:w="4752"/>
            <w:shd w:fill="FFF5F5" w:val="clear"/>
          </w:tcPr>
          <w:p>
            <w:pPr>
              <w:keepLines/>
            </w:pPr>
            <w:r>
              <w:rPr>
                <w:color w:val="B71C1C"/>
                <w:sz w:val="19"/>
              </w:rPr>
              <w:t>- Kitchen station queueing &amp; dispatch</w:t>
            </w:r>
          </w:p>
        </w:tc>
      </w:tr>
      <w:tr>
        <w:tc>
          <w:tcPr>
            <w:tcW w:type="dxa" w:w="4608"/>
            <w:shd w:fill="F0FFF4" w:val="clear"/>
          </w:tcPr>
          <w:p>
            <w:pPr>
              <w:keepLines/>
            </w:pPr>
            <w:r>
              <w:rPr>
                <w:color w:val="1B6B35"/>
                <w:sz w:val="19"/>
              </w:rPr>
              <w:t>+ Scenario Comparison &amp; Sensitivity Analysis</w:t>
            </w:r>
          </w:p>
        </w:tc>
        <w:tc>
          <w:tcPr>
            <w:tcW w:type="dxa" w:w="4752"/>
            <w:shd w:fill="FFF5F5" w:val="clear"/>
          </w:tcPr>
          <w:p>
            <w:pPr>
              <w:keepLines/>
            </w:pPr>
            <w:r>
              <w:rPr>
                <w:color w:val="B71C1C"/>
                <w:sz w:val="19"/>
              </w:rPr>
              <w:t>- Workforce scheduling optimization</w:t>
            </w:r>
          </w:p>
        </w:tc>
      </w:tr>
      <w:tr>
        <w:tc>
          <w:tcPr>
            <w:tcW w:type="dxa" w:w="4608"/>
            <w:shd w:fill="F0FFF4" w:val="clear"/>
          </w:tcPr>
          <w:p>
            <w:pPr>
              <w:keepLines/>
            </w:pPr>
            <w:r>
              <w:rPr>
                <w:color w:val="1B6B35"/>
                <w:sz w:val="19"/>
              </w:rPr>
              <w:t>+ Market Hierarchy &amp; Attractiveness Scoring</w:t>
            </w:r>
          </w:p>
        </w:tc>
        <w:tc>
          <w:tcPr>
            <w:tcW w:type="dxa" w:w="4752"/>
            <w:shd w:fill="FFF5F5" w:val="clear"/>
          </w:tcPr>
          <w:p>
            <w:pPr>
              <w:keepLines/>
            </w:pPr>
            <w:r>
              <w:rPr>
                <w:color w:val="B71C1C"/>
                <w:sz w:val="19"/>
              </w:rPr>
              <w:t>- Full actuals ingestion pipelines</w:t>
            </w:r>
          </w:p>
        </w:tc>
      </w:tr>
      <w:tr>
        <w:tc>
          <w:tcPr>
            <w:tcW w:type="dxa" w:w="4608"/>
            <w:shd w:fill="F0FFF4" w:val="clear"/>
          </w:tcPr>
          <w:p>
            <w:pPr>
              <w:keepLines/>
            </w:pPr>
            <w:r>
              <w:rPr>
                <w:color w:val="1B6B35"/>
                <w:sz w:val="19"/>
              </w:rPr>
              <w:t>+ Expansion Trigger Logic &amp; Gantt</w:t>
            </w:r>
          </w:p>
        </w:tc>
        <w:tc>
          <w:tcPr>
            <w:tcW w:type="dxa" w:w="4752"/>
            <w:shd w:fill="FFF5F5" w:val="clear"/>
          </w:tcPr>
          <w:p>
            <w:pPr>
              <w:keepLines/>
            </w:pPr>
            <w:r>
              <w:rPr>
                <w:color w:val="B71C1C"/>
                <w:sz w:val="19"/>
              </w:rPr>
              <w:t>- Real-time telemetry &amp; POS integration</w:t>
            </w:r>
          </w:p>
        </w:tc>
      </w:tr>
      <w:tr>
        <w:tc>
          <w:tcPr>
            <w:tcW w:type="dxa" w:w="4608"/>
            <w:shd w:fill="F0FFF4" w:val="clear"/>
          </w:tcPr>
          <w:p>
            <w:pPr>
              <w:keepLines/>
            </w:pPr>
            <w:r>
              <w:rPr>
                <w:color w:val="1B6B35"/>
                <w:sz w:val="19"/>
              </w:rPr>
              <w:t>+ Basic Simulators (Pricing, Cost, Expansion)</w:t>
            </w:r>
          </w:p>
        </w:tc>
        <w:tc>
          <w:tcPr>
            <w:tcW w:type="dxa" w:w="4752"/>
            <w:shd w:fill="FFF5F5" w:val="clear"/>
          </w:tcPr>
          <w:p>
            <w:pPr>
              <w:keepLines/>
            </w:pPr>
            <w:r>
              <w:rPr>
                <w:color w:val="B71C1C"/>
                <w:sz w:val="19"/>
              </w:rPr>
              <w:t>- Ingredient BOM full detail</w:t>
            </w:r>
          </w:p>
        </w:tc>
      </w:tr>
      <w:tr>
        <w:tc>
          <w:tcPr>
            <w:tcW w:type="dxa" w:w="4608"/>
            <w:shd w:fill="F0FFF4" w:val="clear"/>
          </w:tcPr>
          <w:p>
            <w:pPr>
              <w:keepLines/>
            </w:pPr>
            <w:r>
              <w:rPr>
                <w:color w:val="1B6B35"/>
                <w:sz w:val="19"/>
              </w:rPr>
              <w:t>+ Risk Framework &amp; Stress Testing</w:t>
            </w:r>
          </w:p>
        </w:tc>
        <w:tc>
          <w:tcPr>
            <w:tcW w:type="dxa" w:w="4752"/>
            <w:shd w:fill="FFF5F5" w:val="clear"/>
          </w:tcPr>
          <w:p>
            <w:pPr>
              <w:keepLines/>
            </w:pPr>
            <w:r>
              <w:rPr>
                <w:color w:val="B71C1C"/>
                <w:sz w:val="19"/>
              </w:rPr>
              <w:t>- Advanced workforce scheduling</w:t>
            </w:r>
          </w:p>
        </w:tc>
      </w:tr>
      <w:tr>
        <w:tc>
          <w:tcPr>
            <w:tcW w:type="dxa" w:w="4608"/>
            <w:shd w:fill="F0FFF4" w:val="clear"/>
          </w:tcPr>
          <w:p>
            <w:pPr>
              <w:keepLines/>
            </w:pPr>
            <w:r>
              <w:rPr>
                <w:color w:val="1B6B35"/>
                <w:sz w:val="19"/>
              </w:rPr>
              <w:t>+ Portfolio Construction Framework</w:t>
            </w:r>
          </w:p>
        </w:tc>
        <w:tc>
          <w:tcPr>
            <w:tcW w:type="dxa" w:w="4752"/>
            <w:shd w:fill="FFF5F5" w:val="clear"/>
          </w:tcPr>
          <w:p>
            <w:pPr>
              <w:keepLines/>
            </w:pPr>
            <w:r>
              <w:rPr>
                <w:color w:val="B71C1C"/>
                <w:sz w:val="19"/>
              </w:rPr>
              <w:t>- Multi-category expansion (non-pizza)</w:t>
            </w:r>
          </w:p>
        </w:tc>
      </w:tr>
    </w:tbl>
    <w:p>
      <w:r>
        <w:br w:type="page"/>
      </w:r>
    </w:p>
    <w:p>
      <w:pPr>
        <w:pStyle w:val="Heading1"/>
        <w:keepNext/>
      </w:pPr>
      <w:r>
        <w:t>18. Phased Delivery Roadmap</w:t>
      </w:r>
    </w:p>
    <w:p>
      <w:pPr>
        <w:spacing w:before="0" w:after="80"/>
        <w:jc w:val="left"/>
      </w:pPr>
      <w:r>
        <w:rPr>
          <w:b w:val="0"/>
          <w:i w:val="0"/>
          <w:sz w:val="20"/>
        </w:rPr>
        <w:t>Six-phase delivery plan covering 60+ weeks, organized to deliver maximum planning value earliest while deferring operational complexity to later phases.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fill="1B3A6B" w:val="clear"/>
          </w:tcPr>
          <w:p>
            <w:pPr>
              <w:jc w:val="center"/>
              <w:keepLines/>
            </w:pPr>
            <w:r>
              <w:rPr>
                <w:b/>
                <w:color w:val="FFFFFF"/>
                <w:sz w:val="18"/>
              </w:rPr>
              <w:t>Phase</w:t>
            </w:r>
          </w:p>
        </w:tc>
        <w:tc>
          <w:tcPr>
            <w:tcW w:type="dxa" w:w="2160"/>
            <w:shd w:fill="1B3A6B" w:val="clear"/>
          </w:tcPr>
          <w:p>
            <w:pPr>
              <w:jc w:val="center"/>
              <w:keepLines/>
            </w:pPr>
            <w:r>
              <w:rPr>
                <w:b/>
                <w:color w:val="FFFFFF"/>
                <w:sz w:val="18"/>
              </w:rPr>
              <w:t>Focus</w:t>
            </w:r>
          </w:p>
        </w:tc>
        <w:tc>
          <w:tcPr>
            <w:tcW w:type="dxa" w:w="4608"/>
            <w:shd w:fill="1B3A6B" w:val="clear"/>
          </w:tcPr>
          <w:p>
            <w:pPr>
              <w:jc w:val="center"/>
              <w:keepLines/>
            </w:pPr>
            <w:r>
              <w:rPr>
                <w:b/>
                <w:color w:val="FFFFFF"/>
                <w:sz w:val="18"/>
              </w:rPr>
              <w:t>Core Deliverables</w:t>
            </w:r>
          </w:p>
        </w:tc>
        <w:tc>
          <w:tcPr>
            <w:tcW w:type="dxa" w:w="864"/>
            <w:shd w:fill="1B3A6B" w:val="clear"/>
          </w:tcPr>
          <w:p>
            <w:pPr>
              <w:jc w:val="center"/>
              <w:keepLines/>
            </w:pPr>
            <w:r>
              <w:rPr>
                <w:b/>
                <w:color w:val="FFFFFF"/>
                <w:sz w:val="18"/>
              </w:rPr>
              <w:t>Tables</w:t>
            </w:r>
          </w:p>
        </w:tc>
        <w:tc>
          <w:tcPr>
            <w:tcW w:type="dxa" w:w="864"/>
            <w:shd w:fill="1B3A6B" w:val="clear"/>
          </w:tcPr>
          <w:p>
            <w:pPr>
              <w:jc w:val="center"/>
              <w:keepLines/>
            </w:pPr>
            <w:r>
              <w:rPr>
                <w:b/>
                <w:color w:val="FFFFFF"/>
                <w:sz w:val="18"/>
              </w:rPr>
              <w:t>Screens</w:t>
            </w:r>
          </w:p>
        </w:tc>
      </w:tr>
      <w:tr>
        <w:tc>
          <w:tcPr>
            <w:tcW w:type="dxa" w:w="1296"/>
            <w:shd w:fill="CCCCCC" w:val="clear"/>
          </w:tcPr>
          <w:p>
            <w:pPr>
              <w:keepLines/>
            </w:pPr>
            <w:r>
              <w:rPr>
                <w:b/>
                <w:color w:val="FFFFFF"/>
                <w:sz w:val="17"/>
              </w:rPr>
              <w:t>Phase 0</w:t>
              <w:br/>
              <w:t>Weeks 1-4</w:t>
            </w:r>
          </w:p>
        </w:tc>
        <w:tc>
          <w:tcPr>
            <w:tcW w:type="dxa" w:w="2160"/>
            <w:shd w:fill="CCCCCC" w:val="clear"/>
          </w:tcPr>
          <w:p>
            <w:pPr>
              <w:keepLines/>
            </w:pPr>
            <w:r>
              <w:rPr>
                <w:b/>
                <w:color w:val="FFFFFF"/>
                <w:sz w:val="17"/>
              </w:rPr>
              <w:t>Infrastructure &amp; Bootstrap</w:t>
            </w:r>
          </w:p>
        </w:tc>
        <w:tc>
          <w:tcPr>
            <w:tcW w:type="dxa" w:w="4608"/>
          </w:tcPr>
          <w:p>
            <w:pPr>
              <w:keepLines/>
            </w:pPr>
            <w:r>
              <w:rPr>
                <w:sz w:val="17"/>
              </w:rPr>
              <w:t>Cloud infra setup, PostgreSQL schema bootstrap, Auth system, CI/CD pipeline, Enum &amp; reference data seed</w:t>
            </w:r>
          </w:p>
        </w:tc>
        <w:tc>
          <w:tcPr>
            <w:tcW w:type="dxa" w:w="864"/>
          </w:tcPr>
          <w:p>
            <w:pPr>
              <w:jc w:val="center"/>
              <w:keepLines/>
            </w:pPr>
            <w:r>
              <w:rPr>
                <w:sz w:val="17"/>
              </w:rPr>
              <w:t>0</w:t>
            </w:r>
          </w:p>
        </w:tc>
        <w:tc>
          <w:tcPr>
            <w:tcW w:type="dxa" w:w="864"/>
          </w:tcPr>
          <w:p>
            <w:pPr>
              <w:jc w:val="center"/>
              <w:keepLines/>
            </w:pPr>
            <w:r>
              <w:rPr>
                <w:sz w:val="17"/>
              </w:rPr>
              <w:t>0</w:t>
            </w:r>
          </w:p>
        </w:tc>
      </w:tr>
      <w:tr>
        <w:tc>
          <w:tcPr>
            <w:tcW w:type="dxa" w:w="1296"/>
            <w:shd w:fill="1B6B35" w:val="clear"/>
          </w:tcPr>
          <w:p>
            <w:pPr>
              <w:keepLines/>
            </w:pPr>
            <w:r>
              <w:rPr>
                <w:b/>
                <w:color w:val="FFFFFF"/>
                <w:sz w:val="17"/>
              </w:rPr>
              <w:t>Phase 1</w:t>
              <w:br/>
              <w:t>Weeks 5-12</w:t>
            </w:r>
          </w:p>
        </w:tc>
        <w:tc>
          <w:tcPr>
            <w:tcW w:type="dxa" w:w="2160"/>
            <w:shd w:fill="1B6B35" w:val="clear"/>
          </w:tcPr>
          <w:p>
            <w:pPr>
              <w:keepLines/>
            </w:pPr>
            <w:r>
              <w:rPr>
                <w:b/>
                <w:color w:val="FFFFFF"/>
                <w:sz w:val="17"/>
              </w:rPr>
              <w:t>Finance-First Startup Planner (Core v1)</w:t>
            </w:r>
          </w:p>
        </w:tc>
        <w:tc>
          <w:tcPr>
            <w:tcW w:type="dxa" w:w="4608"/>
          </w:tcPr>
          <w:p>
            <w:pPr>
              <w:keepLines/>
            </w:pPr>
            <w:r>
              <w:rPr>
                <w:sz w:val="17"/>
              </w:rPr>
              <w:t>Planning spine, commercial/cost/funding drivers, P&amp;L+CF+BS projections, scenario comparison, cash runway, market selection, basic simulators</w:t>
            </w:r>
          </w:p>
        </w:tc>
        <w:tc>
          <w:tcPr>
            <w:tcW w:type="dxa" w:w="864"/>
          </w:tcPr>
          <w:p>
            <w:pPr>
              <w:jc w:val="center"/>
              <w:keepLines/>
            </w:pPr>
            <w:r>
              <w:rPr>
                <w:sz w:val="17"/>
              </w:rPr>
              <w:t>8</w:t>
            </w:r>
          </w:p>
        </w:tc>
        <w:tc>
          <w:tcPr>
            <w:tcW w:type="dxa" w:w="864"/>
          </w:tcPr>
          <w:p>
            <w:pPr>
              <w:jc w:val="center"/>
              <w:keepLines/>
            </w:pPr>
            <w:r>
              <w:rPr>
                <w:sz w:val="17"/>
              </w:rPr>
              <w:t>3</w:t>
            </w:r>
          </w:p>
        </w:tc>
      </w:tr>
      <w:tr>
        <w:tc>
          <w:tcPr>
            <w:tcW w:type="dxa" w:w="1296"/>
            <w:shd w:fill="1565C0" w:val="clear"/>
          </w:tcPr>
          <w:p>
            <w:pPr>
              <w:keepLines/>
            </w:pPr>
            <w:r>
              <w:rPr>
                <w:b/>
                <w:color w:val="FFFFFF"/>
                <w:sz w:val="17"/>
              </w:rPr>
              <w:t>Phase 2</w:t>
              <w:br/>
              <w:t>Weeks 13-24</w:t>
            </w:r>
          </w:p>
        </w:tc>
        <w:tc>
          <w:tcPr>
            <w:tcW w:type="dxa" w:w="2160"/>
            <w:shd w:fill="1565C0" w:val="clear"/>
          </w:tcPr>
          <w:p>
            <w:pPr>
              <w:keepLines/>
            </w:pPr>
            <w:r>
              <w:rPr>
                <w:b/>
                <w:color w:val="FFFFFF"/>
                <w:sz w:val="17"/>
              </w:rPr>
              <w:t>Driver &amp; Projection Engine</w:t>
            </w:r>
          </w:p>
        </w:tc>
        <w:tc>
          <w:tcPr>
            <w:tcW w:type="dxa" w:w="4608"/>
          </w:tcPr>
          <w:p>
            <w:pPr>
              <w:keepLines/>
            </w:pPr>
            <w:r>
              <w:rPr>
                <w:sz w:val="17"/>
              </w:rPr>
              <w:t>Full driver engine, projection computation, KPI layer, unit economics, market hierarchy, attractiveness scoring, expansion triggers</w:t>
            </w:r>
          </w:p>
        </w:tc>
        <w:tc>
          <w:tcPr>
            <w:tcW w:type="dxa" w:w="864"/>
          </w:tcPr>
          <w:p>
            <w:pPr>
              <w:jc w:val="center"/>
              <w:keepLines/>
            </w:pPr>
            <w:r>
              <w:rPr>
                <w:sz w:val="17"/>
              </w:rPr>
              <w:t>+24</w:t>
            </w:r>
          </w:p>
        </w:tc>
        <w:tc>
          <w:tcPr>
            <w:tcW w:type="dxa" w:w="864"/>
          </w:tcPr>
          <w:p>
            <w:pPr>
              <w:jc w:val="center"/>
              <w:keepLines/>
            </w:pPr>
            <w:r>
              <w:rPr>
                <w:sz w:val="17"/>
              </w:rPr>
              <w:t>+7</w:t>
            </w:r>
          </w:p>
        </w:tc>
      </w:tr>
      <w:tr>
        <w:tc>
          <w:tcPr>
            <w:tcW w:type="dxa" w:w="1296"/>
            <w:shd w:fill="6A1B9A" w:val="clear"/>
          </w:tcPr>
          <w:p>
            <w:pPr>
              <w:keepLines/>
            </w:pPr>
            <w:r>
              <w:rPr>
                <w:b/>
                <w:color w:val="FFFFFF"/>
                <w:sz w:val="17"/>
              </w:rPr>
              <w:t>Phase 3</w:t>
              <w:br/>
              <w:t>Weeks 25-36</w:t>
            </w:r>
          </w:p>
        </w:tc>
        <w:tc>
          <w:tcPr>
            <w:tcW w:type="dxa" w:w="2160"/>
            <w:shd w:fill="6A1B9A" w:val="clear"/>
          </w:tcPr>
          <w:p>
            <w:pPr>
              <w:keepLines/>
            </w:pPr>
            <w:r>
              <w:rPr>
                <w:b/>
                <w:color w:val="FFFFFF"/>
                <w:sz w:val="17"/>
              </w:rPr>
              <w:t>Scenario &amp; Intelligence Layer</w:t>
            </w:r>
          </w:p>
        </w:tc>
        <w:tc>
          <w:tcPr>
            <w:tcW w:type="dxa" w:w="4608"/>
          </w:tcPr>
          <w:p>
            <w:pPr>
              <w:keepLines/>
            </w:pPr>
            <w:r>
              <w:rPr>
                <w:sz w:val="17"/>
              </w:rPr>
              <w:t>Scenario versioning, approval workflows, driver explainability, revenue/EBITDA bridges, assumption confidence tracking, rolling forecast</w:t>
            </w:r>
          </w:p>
        </w:tc>
        <w:tc>
          <w:tcPr>
            <w:tcW w:type="dxa" w:w="864"/>
          </w:tcPr>
          <w:p>
            <w:pPr>
              <w:jc w:val="center"/>
              <w:keepLines/>
            </w:pPr>
            <w:r>
              <w:rPr>
                <w:sz w:val="17"/>
              </w:rPr>
              <w:t>+10</w:t>
            </w:r>
          </w:p>
        </w:tc>
        <w:tc>
          <w:tcPr>
            <w:tcW w:type="dxa" w:w="864"/>
          </w:tcPr>
          <w:p>
            <w:pPr>
              <w:jc w:val="center"/>
              <w:keepLines/>
            </w:pPr>
            <w:r>
              <w:rPr>
                <w:sz w:val="17"/>
              </w:rPr>
              <w:t>+8</w:t>
            </w:r>
          </w:p>
        </w:tc>
      </w:tr>
      <w:tr>
        <w:tc>
          <w:tcPr>
            <w:tcW w:type="dxa" w:w="1296"/>
            <w:shd w:fill="B71C1C" w:val="clear"/>
          </w:tcPr>
          <w:p>
            <w:pPr>
              <w:keepLines/>
            </w:pPr>
            <w:r>
              <w:rPr>
                <w:b/>
                <w:color w:val="FFFFFF"/>
                <w:sz w:val="17"/>
              </w:rPr>
              <w:t>Phase 4</w:t>
              <w:br/>
              <w:t>Weeks 37-48</w:t>
            </w:r>
          </w:p>
        </w:tc>
        <w:tc>
          <w:tcPr>
            <w:tcW w:type="dxa" w:w="2160"/>
            <w:shd w:fill="B71C1C" w:val="clear"/>
          </w:tcPr>
          <w:p>
            <w:pPr>
              <w:keepLines/>
            </w:pPr>
            <w:r>
              <w:rPr>
                <w:b/>
                <w:color w:val="FFFFFF"/>
                <w:sz w:val="17"/>
              </w:rPr>
              <w:t>Risk, Simulation &amp; Capital</w:t>
            </w:r>
          </w:p>
        </w:tc>
        <w:tc>
          <w:tcPr>
            <w:tcW w:type="dxa" w:w="4608"/>
          </w:tcPr>
          <w:p>
            <w:pPr>
              <w:keepLines/>
            </w:pPr>
            <w:r>
              <w:rPr>
                <w:sz w:val="17"/>
              </w:rPr>
              <w:t>Risk framework, sensitivity analysis, Monte Carlo engine, stress testing, advanced simulators, capital strategy intelligence, funding simulator</w:t>
            </w:r>
          </w:p>
        </w:tc>
        <w:tc>
          <w:tcPr>
            <w:tcW w:type="dxa" w:w="864"/>
          </w:tcPr>
          <w:p>
            <w:pPr>
              <w:jc w:val="center"/>
              <w:keepLines/>
            </w:pPr>
            <w:r>
              <w:rPr>
                <w:sz w:val="17"/>
              </w:rPr>
              <w:t>+16</w:t>
            </w:r>
          </w:p>
        </w:tc>
        <w:tc>
          <w:tcPr>
            <w:tcW w:type="dxa" w:w="864"/>
          </w:tcPr>
          <w:p>
            <w:pPr>
              <w:jc w:val="center"/>
              <w:keepLines/>
            </w:pPr>
            <w:r>
              <w:rPr>
                <w:sz w:val="17"/>
              </w:rPr>
              <w:t>+6</w:t>
            </w:r>
          </w:p>
        </w:tc>
      </w:tr>
      <w:tr>
        <w:tc>
          <w:tcPr>
            <w:tcW w:type="dxa" w:w="1296"/>
            <w:shd w:fill="37474F" w:val="clear"/>
          </w:tcPr>
          <w:p>
            <w:pPr>
              <w:keepLines/>
            </w:pPr>
            <w:r>
              <w:rPr>
                <w:b/>
                <w:color w:val="FFFFFF"/>
                <w:sz w:val="17"/>
              </w:rPr>
              <w:t>Phase 5</w:t>
              <w:br/>
              <w:t>Weeks 49-60</w:t>
            </w:r>
          </w:p>
        </w:tc>
        <w:tc>
          <w:tcPr>
            <w:tcW w:type="dxa" w:w="2160"/>
            <w:shd w:fill="37474F" w:val="clear"/>
          </w:tcPr>
          <w:p>
            <w:pPr>
              <w:keepLines/>
            </w:pPr>
            <w:r>
              <w:rPr>
                <w:b/>
                <w:color w:val="FFFFFF"/>
                <w:sz w:val="17"/>
              </w:rPr>
              <w:t>Governance &amp; Portfolio</w:t>
            </w:r>
          </w:p>
        </w:tc>
        <w:tc>
          <w:tcPr>
            <w:tcW w:type="dxa" w:w="4608"/>
          </w:tcPr>
          <w:p>
            <w:pPr>
              <w:keepLines/>
            </w:pPr>
            <w:r>
              <w:rPr>
                <w:sz w:val="17"/>
              </w:rPr>
              <w:t>Plan versioning governance, audit trails, portfolio construction, decision memory, learning loop, plan vs actual variance analysis</w:t>
            </w:r>
          </w:p>
        </w:tc>
        <w:tc>
          <w:tcPr>
            <w:tcW w:type="dxa" w:w="864"/>
          </w:tcPr>
          <w:p>
            <w:pPr>
              <w:jc w:val="center"/>
              <w:keepLines/>
            </w:pPr>
            <w:r>
              <w:rPr>
                <w:sz w:val="17"/>
              </w:rPr>
              <w:t>+8</w:t>
            </w:r>
          </w:p>
        </w:tc>
        <w:tc>
          <w:tcPr>
            <w:tcW w:type="dxa" w:w="864"/>
          </w:tcPr>
          <w:p>
            <w:pPr>
              <w:jc w:val="center"/>
              <w:keepLines/>
            </w:pPr>
            <w:r>
              <w:rPr>
                <w:sz w:val="17"/>
              </w:rPr>
              <w:t>+4</w:t>
            </w:r>
          </w:p>
        </w:tc>
      </w:tr>
      <w:tr>
        <w:tc>
          <w:tcPr>
            <w:tcW w:type="dxa" w:w="1296"/>
            <w:shd w:fill="757575" w:val="clear"/>
          </w:tcPr>
          <w:p>
            <w:pPr>
              <w:keepLines/>
            </w:pPr>
            <w:r>
              <w:rPr>
                <w:b/>
                <w:color w:val="FFFFFF"/>
                <w:sz w:val="17"/>
              </w:rPr>
              <w:t>Phase 6</w:t>
              <w:br/>
              <w:t>Weeks 61+</w:t>
            </w:r>
          </w:p>
        </w:tc>
        <w:tc>
          <w:tcPr>
            <w:tcW w:type="dxa" w:w="2160"/>
            <w:shd w:fill="757575" w:val="clear"/>
          </w:tcPr>
          <w:p>
            <w:pPr>
              <w:keepLines/>
            </w:pPr>
            <w:r>
              <w:rPr>
                <w:b/>
                <w:color w:val="FFFFFF"/>
                <w:sz w:val="17"/>
              </w:rPr>
              <w:t>Operational Extensions (Optional)</w:t>
            </w:r>
          </w:p>
        </w:tc>
        <w:tc>
          <w:tcPr>
            <w:tcW w:type="dxa" w:w="4608"/>
          </w:tcPr>
          <w:p>
            <w:pPr>
              <w:keepLines/>
            </w:pPr>
            <w:r>
              <w:rPr>
                <w:sz w:val="17"/>
              </w:rPr>
              <w:t>Order-level actuals bridge, intraday forecasting, kitchen station ops, modifier analytics, workforce scheduling, real-time telemetry</w:t>
            </w:r>
          </w:p>
        </w:tc>
        <w:tc>
          <w:tcPr>
            <w:tcW w:type="dxa" w:w="864"/>
          </w:tcPr>
          <w:p>
            <w:pPr>
              <w:jc w:val="center"/>
              <w:keepLines/>
            </w:pPr>
            <w:r>
              <w:rPr>
                <w:sz w:val="17"/>
              </w:rPr>
              <w:t>+11</w:t>
            </w:r>
          </w:p>
        </w:tc>
        <w:tc>
          <w:tcPr>
            <w:tcW w:type="dxa" w:w="864"/>
          </w:tcPr>
          <w:p>
            <w:pPr>
              <w:jc w:val="center"/>
              <w:keepLines/>
            </w:pPr>
            <w:r>
              <w:rPr>
                <w:sz w:val="17"/>
              </w:rPr>
              <w:t>0</w:t>
            </w:r>
          </w:p>
        </w:tc>
      </w:tr>
    </w:tbl>
    <w:p/>
    <w:p>
      <w:pPr>
        <w:pStyle w:val="Heading2"/>
        <w:keepNext/>
      </w:pPr>
      <w:r>
        <w:t>Cumulative Scope at Full Delivery</w:t>
      </w:r>
    </w:p>
    <w:tbl>
      <w:tblPr>
        <w:tblStyle w:val="TableGrid"/>
        <w:tblW w:type="auto" w:w="0"/>
        <w:tblLook w:firstColumn="1" w:firstRow="1" w:lastColumn="0" w:lastRow="0" w:noHBand="0" w:noVBand="1" w:val="04A0"/>
      </w:tblPr>
      <w:tblGrid>
        <w:gridCol w:w="4680"/>
        <w:gridCol w:w="4680"/>
      </w:tblGrid>
      <w:tr>
        <w:tc>
          <w:tcPr>
            <w:tcW w:type="dxa" w:w="3600"/>
            <w:shd w:fill="EBF3FF" w:val="clear"/>
          </w:tcPr>
          <w:p>
            <w:pPr>
              <w:keepLines/>
            </w:pPr>
            <w:r>
              <w:rPr>
                <w:b/>
                <w:sz w:val="20"/>
              </w:rPr>
              <w:t>Total Core Tables</w:t>
            </w:r>
          </w:p>
        </w:tc>
        <w:tc>
          <w:tcPr>
            <w:tcW w:type="dxa" w:w="5760"/>
            <w:shd w:fill="EBF3FF" w:val="clear"/>
          </w:tcPr>
          <w:p>
            <w:pPr>
              <w:keepLines/>
            </w:pPr>
            <w:r>
              <w:rPr>
                <w:sz w:val="20"/>
              </w:rPr>
              <w:t>73 tables (62 core + 11 optional extension)</w:t>
            </w:r>
          </w:p>
        </w:tc>
      </w:tr>
      <w:tr>
        <w:tc>
          <w:tcPr>
            <w:tcW w:type="dxa" w:w="3600"/>
            <w:shd w:fill="FFFFFF" w:val="clear"/>
          </w:tcPr>
          <w:p>
            <w:pPr>
              <w:keepLines/>
            </w:pPr>
            <w:r>
              <w:rPr>
                <w:b/>
                <w:sz w:val="20"/>
              </w:rPr>
              <w:t>Total Dashboard Screens</w:t>
            </w:r>
          </w:p>
        </w:tc>
        <w:tc>
          <w:tcPr>
            <w:tcW w:type="dxa" w:w="5760"/>
            <w:shd w:fill="FFFFFF" w:val="clear"/>
          </w:tcPr>
          <w:p>
            <w:pPr>
              <w:keepLines/>
            </w:pPr>
            <w:r>
              <w:rPr>
                <w:sz w:val="20"/>
              </w:rPr>
              <w:t>24 screens across 7 tiers</w:t>
            </w:r>
          </w:p>
        </w:tc>
      </w:tr>
      <w:tr>
        <w:tc>
          <w:tcPr>
            <w:tcW w:type="dxa" w:w="3600"/>
            <w:shd w:fill="EBF3FF" w:val="clear"/>
          </w:tcPr>
          <w:p>
            <w:pPr>
              <w:keepLines/>
            </w:pPr>
            <w:r>
              <w:rPr>
                <w:b/>
                <w:sz w:val="20"/>
              </w:rPr>
              <w:t>Total Delivery Timeline</w:t>
            </w:r>
          </w:p>
        </w:tc>
        <w:tc>
          <w:tcPr>
            <w:tcW w:type="dxa" w:w="5760"/>
            <w:shd w:fill="EBF3FF" w:val="clear"/>
          </w:tcPr>
          <w:p>
            <w:pPr>
              <w:keepLines/>
            </w:pPr>
            <w:r>
              <w:rPr>
                <w:sz w:val="20"/>
              </w:rPr>
              <w:t>60 weeks (Phase 0-5) + Phase 6 optional</w:t>
            </w:r>
          </w:p>
        </w:tc>
      </w:tr>
      <w:tr>
        <w:tc>
          <w:tcPr>
            <w:tcW w:type="dxa" w:w="3600"/>
            <w:shd w:fill="FFFFFF" w:val="clear"/>
          </w:tcPr>
          <w:p>
            <w:pPr>
              <w:keepLines/>
            </w:pPr>
            <w:r>
              <w:rPr>
                <w:b/>
                <w:sz w:val="20"/>
              </w:rPr>
              <w:t>Total Architecture Layers</w:t>
            </w:r>
          </w:p>
        </w:tc>
        <w:tc>
          <w:tcPr>
            <w:tcW w:type="dxa" w:w="5760"/>
            <w:shd w:fill="FFFFFF" w:val="clear"/>
          </w:tcPr>
          <w:p>
            <w:pPr>
              <w:keepLines/>
            </w:pPr>
            <w:r>
              <w:rPr>
                <w:sz w:val="20"/>
              </w:rPr>
              <w:t>9 layers + Optional Extension</w:t>
            </w:r>
          </w:p>
        </w:tc>
      </w:tr>
      <w:tr>
        <w:tc>
          <w:tcPr>
            <w:tcW w:type="dxa" w:w="3600"/>
            <w:shd w:fill="EBF3FF" w:val="clear"/>
          </w:tcPr>
          <w:p>
            <w:pPr>
              <w:keepLines/>
            </w:pPr>
            <w:r>
              <w:rPr>
                <w:b/>
                <w:sz w:val="20"/>
              </w:rPr>
              <w:t>Total Simulators</w:t>
            </w:r>
          </w:p>
        </w:tc>
        <w:tc>
          <w:tcPr>
            <w:tcW w:type="dxa" w:w="5760"/>
            <w:shd w:fill="EBF3FF" w:val="clear"/>
          </w:tcPr>
          <w:p>
            <w:pPr>
              <w:keepLines/>
            </w:pPr>
            <w:r>
              <w:rPr>
                <w:sz w:val="20"/>
              </w:rPr>
              <w:t>12 simulators</w:t>
            </w:r>
          </w:p>
        </w:tc>
      </w:tr>
      <w:tr>
        <w:tc>
          <w:tcPr>
            <w:tcW w:type="dxa" w:w="3600"/>
            <w:shd w:fill="FFFFFF" w:val="clear"/>
          </w:tcPr>
          <w:p>
            <w:pPr>
              <w:keepLines/>
            </w:pPr>
            <w:r>
              <w:rPr>
                <w:b/>
                <w:sz w:val="20"/>
              </w:rPr>
              <w:t>Total KPIs</w:t>
            </w:r>
          </w:p>
        </w:tc>
        <w:tc>
          <w:tcPr>
            <w:tcW w:type="dxa" w:w="5760"/>
            <w:shd w:fill="FFFFFF" w:val="clear"/>
          </w:tcPr>
          <w:p>
            <w:pPr>
              <w:keepLines/>
            </w:pPr>
            <w:r>
              <w:rPr>
                <w:sz w:val="20"/>
              </w:rPr>
              <w:t>21 core KPIs + driver explainability</w:t>
            </w:r>
          </w:p>
        </w:tc>
      </w:tr>
      <w:tr>
        <w:tc>
          <w:tcPr>
            <w:tcW w:type="dxa" w:w="3600"/>
            <w:shd w:fill="EBF3FF" w:val="clear"/>
          </w:tcPr>
          <w:p>
            <w:pPr>
              <w:keepLines/>
            </w:pPr>
            <w:r>
              <w:rPr>
                <w:b/>
                <w:sz w:val="20"/>
              </w:rPr>
              <w:t>Total Risk Scenarios</w:t>
            </w:r>
          </w:p>
        </w:tc>
        <w:tc>
          <w:tcPr>
            <w:tcW w:type="dxa" w:w="5760"/>
            <w:shd w:fill="EBF3FF" w:val="clear"/>
          </w:tcPr>
          <w:p>
            <w:pPr>
              <w:keepLines/>
            </w:pPr>
            <w:r>
              <w:rPr>
                <w:sz w:val="20"/>
              </w:rPr>
              <w:t>6 risk categories + Monte Carlo + stress tests</w:t>
            </w:r>
          </w:p>
        </w:tc>
      </w:tr>
      <w:tr>
        <w:tc>
          <w:tcPr>
            <w:tcW w:type="dxa" w:w="3600"/>
            <w:shd w:fill="FFFFFF" w:val="clear"/>
          </w:tcPr>
          <w:p>
            <w:pPr>
              <w:keepLines/>
            </w:pPr>
            <w:r>
              <w:rPr>
                <w:b/>
                <w:sz w:val="20"/>
              </w:rPr>
              <w:t>Total Geographic Levels</w:t>
            </w:r>
          </w:p>
        </w:tc>
        <w:tc>
          <w:tcPr>
            <w:tcW w:type="dxa" w:w="5760"/>
            <w:shd w:fill="FFFFFF" w:val="clear"/>
          </w:tcPr>
          <w:p>
            <w:pPr>
              <w:keepLines/>
            </w:pPr>
            <w:r>
              <w:rPr>
                <w:sz w:val="20"/>
              </w:rPr>
              <w:t>5 levels: Country &gt; Cluster &gt; Macro &gt; Micro &gt; Kitchen</w:t>
            </w:r>
          </w:p>
        </w:tc>
      </w:tr>
    </w:tbl>
    <w:sectPr w:rsidR="00FC693F" w:rsidRPr="0006063C" w:rsidSect="00034616">
      <w:footerReference w:type="default" r:id="rId9"/>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Unified Master v3 Architecture — Finance-First F&amp;B Projection Engine    |    Page </w:t>
      <w:fldChar w:fldCharType="begin"/>
    </w:r>
    <w:r>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