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0D1B3E" w:val="clear"/>
          </w:tcPr>
          <w:p>
            <w:pPr>
              <w:spacing w:before="600" w:after="16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FINANCE-FIRST F&amp;B PROJECTION ENGINE</w:t>
            </w:r>
          </w:p>
          <w:p/>
          <w:p>
            <w:pPr>
              <w:jc w:val="center"/>
            </w:pPr>
            <w:r>
              <w:rPr>
                <w:rFonts w:ascii="Calibri" w:hAnsi="Calibri"/>
                <w:color w:val="AACCFF"/>
                <w:sz w:val="28"/>
              </w:rPr>
              <w:t>Phased Engineering Roadmap v3.0</w:t>
            </w:r>
          </w:p>
          <w:p/>
          <w:p>
            <w:pPr>
              <w:spacing w:after="600"/>
              <w:jc w:val="center"/>
            </w:pPr>
            <w:r>
              <w:rPr>
                <w:rFonts w:ascii="Calibri" w:hAnsi="Calibri"/>
                <w:color w:val="CCDDFF"/>
                <w:sz w:val="20"/>
              </w:rPr>
              <w:t>Dark Kitchen | Pizza | Platform-Driven Delivery | Finance-First Planning</w:t>
            </w:r>
          </w:p>
        </w:tc>
      </w:tr>
    </w:tbl>
    <w:p>
      <w:pPr>
        <w:spacing w:before="0" w:after="4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2268" w:type="dxa"/>
            <w:shd w:fill="0D1B3E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536"/>
            <w:tcW w:w="7087" w:type="dxa"/>
            <w:shd w:fill="F5F5F5" w:val="clear"/>
          </w:tcPr>
          <w:p>
            <w:pPr>
              <w:spacing w:before="60" w:after="60"/>
            </w:pPr>
            <w:r>
              <w:rPr>
                <w:sz w:val="18"/>
              </w:rPr>
              <w:t>Phased Engineering Roadmap v3.0</w:t>
            </w:r>
          </w:p>
        </w:tc>
      </w:tr>
      <w:tr>
        <w:trPr>
          <w:cantSplit w:val="1"/>
        </w:trPr>
        <w:tc>
          <w:tcPr>
            <w:tcW w:type="dxa" w:w="4536"/>
            <w:tcW w:w="2268" w:type="dxa"/>
            <w:shd w:fill="0D1B3E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536"/>
            <w:tcW w:w="7087" w:type="dxa"/>
            <w:shd w:fill="FFFFFF" w:val="clear"/>
          </w:tcPr>
          <w:p>
            <w:pPr>
              <w:spacing w:before="60" w:after="60"/>
            </w:pPr>
            <w:r>
              <w:rPr>
                <w:sz w:val="18"/>
              </w:rPr>
              <w:t>v3.0  —  2026-03-30</w:t>
            </w:r>
          </w:p>
        </w:tc>
      </w:tr>
      <w:tr>
        <w:trPr>
          <w:cantSplit w:val="1"/>
        </w:trPr>
        <w:tc>
          <w:tcPr>
            <w:tcW w:type="dxa" w:w="4536"/>
            <w:tcW w:w="2268" w:type="dxa"/>
            <w:shd w:fill="0D1B3E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536"/>
            <w:tcW w:w="7087" w:type="dxa"/>
            <w:shd w:fill="F5F5F5" w:val="clear"/>
          </w:tcPr>
          <w:p>
            <w:pPr>
              <w:spacing w:before="60" w:after="60"/>
            </w:pPr>
            <w:r>
              <w:rPr>
                <w:sz w:val="18"/>
              </w:rPr>
              <w:t>73 Core Tables  |  22 Screens  |  60 Weeks to Full v3</w:t>
            </w:r>
          </w:p>
        </w:tc>
      </w:tr>
      <w:tr>
        <w:trPr>
          <w:cantSplit w:val="1"/>
        </w:trPr>
        <w:tc>
          <w:tcPr>
            <w:tcW w:type="dxa" w:w="4536"/>
            <w:tcW w:w="2268" w:type="dxa"/>
            <w:shd w:fill="0D1B3E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536"/>
            <w:tcW w:w="7087" w:type="dxa"/>
            <w:shd w:fill="FFFFFF" w:val="clear"/>
          </w:tcPr>
          <w:p>
            <w:pPr>
              <w:spacing w:before="60" w:after="60"/>
            </w:pPr>
            <w:r>
              <w:rPr>
                <w:sz w:val="18"/>
              </w:rPr>
              <w:t>Dark Kitchen | Pizza | Finance-First Planning</w:t>
            </w:r>
          </w:p>
        </w:tc>
      </w:tr>
    </w:tbl>
    <w:p>
      <w:pPr>
        <w:spacing w:before="0" w:after="400"/>
      </w:pPr>
    </w:p>
    <w:p>
      <w:pPr>
        <w:spacing w:before="200" w:after="80"/>
        <w:keepNext w:val="1"/>
        <w:keepLines w:val="1"/>
      </w:pPr>
      <w:r>
        <w:rPr>
          <w:b/>
          <w:color w:val="0D1B3E"/>
          <w:sz w:val="22"/>
        </w:rPr>
        <w:t>Architecture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pStyle w:val="ListBullet"/>
        <w:spacing w:before="20" w:after="20"/>
      </w:pPr>
      <w:r>
        <w:rPr>
          <w:sz w:val="18"/>
        </w:rPr>
        <w:t xml:space="preserve">  A – Planning Spine &amp; Governance</w:t>
      </w:r>
    </w:p>
    <w:p>
      <w:pPr>
        <w:pStyle w:val="ListBullet"/>
        <w:spacing w:before="20" w:after="20"/>
      </w:pPr>
      <w:r>
        <w:rPr>
          <w:sz w:val="18"/>
        </w:rPr>
        <w:t xml:space="preserve">  B – Product &amp; Market Reference</w:t>
      </w:r>
    </w:p>
    <w:p>
      <w:pPr>
        <w:pStyle w:val="ListBullet"/>
        <w:spacing w:before="20" w:after="20"/>
      </w:pPr>
      <w:r>
        <w:rPr>
          <w:sz w:val="18"/>
        </w:rPr>
        <w:t xml:space="preserve">  C – Commercial Driver Engine</w:t>
      </w:r>
    </w:p>
    <w:p>
      <w:pPr>
        <w:pStyle w:val="ListBullet"/>
        <w:spacing w:before="20" w:after="20"/>
      </w:pPr>
      <w:r>
        <w:rPr>
          <w:sz w:val="18"/>
        </w:rPr>
        <w:t xml:space="preserve">  D – Cost Driver Engine</w:t>
      </w:r>
    </w:p>
    <w:p>
      <w:pPr>
        <w:pStyle w:val="ListBullet"/>
        <w:spacing w:before="20" w:after="20"/>
      </w:pPr>
      <w:r>
        <w:rPr>
          <w:sz w:val="18"/>
        </w:rPr>
        <w:t xml:space="preserve">  E – Funding &amp; Capital Strategy</w:t>
      </w:r>
    </w:p>
    <w:p>
      <w:pPr>
        <w:pStyle w:val="ListBullet"/>
        <w:spacing w:before="20" w:after="20"/>
      </w:pPr>
      <w:r>
        <w:rPr>
          <w:sz w:val="18"/>
        </w:rPr>
        <w:t xml:space="preserve">  F – Financial Projection Engine</w:t>
      </w:r>
    </w:p>
    <w:p>
      <w:pPr>
        <w:pStyle w:val="ListBullet"/>
        <w:spacing w:before="20" w:after="20"/>
      </w:pPr>
      <w:r>
        <w:rPr>
          <w:sz w:val="18"/>
        </w:rPr>
        <w:t xml:space="preserve">  G – KPI &amp; Performance Intelligence</w:t>
      </w:r>
    </w:p>
    <w:p>
      <w:pPr>
        <w:pStyle w:val="ListBullet"/>
        <w:spacing w:before="20" w:after="20"/>
      </w:pPr>
      <w:r>
        <w:rPr>
          <w:sz w:val="18"/>
        </w:rPr>
        <w:t xml:space="preserve">  H – Risk &amp; Uncertainty Framework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 — Executive Roadmap Summary</w:t>
      </w:r>
    </w:p>
    <w:p>
      <w:pPr>
        <w:spacing w:before="40" w:after="80"/>
      </w:pPr>
      <w:r>
        <w:rPr>
          <w:b w:val="0"/>
          <w:i w:val="0"/>
          <w:sz w:val="20"/>
        </w:rPr>
        <w:t>The table below provides the end-to-end phased delivery plan. Each phase has a defined scope, milestone gate, and cumulative table/screen count.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 w:val="1"/>
        </w:trPr>
        <w:tc>
          <w:tcPr>
            <w:tcW w:type="dxa" w:w="1512"/>
            <w:tcW w:w="215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512"/>
            <w:tcW w:w="850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1512"/>
            <w:tcW w:w="2948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Core Deliverable</w:t>
            </w:r>
          </w:p>
        </w:tc>
        <w:tc>
          <w:tcPr>
            <w:tcW w:type="dxa" w:w="1512"/>
            <w:tcW w:w="1020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Cumulative Tables</w:t>
            </w:r>
          </w:p>
        </w:tc>
        <w:tc>
          <w:tcPr>
            <w:tcW w:type="dxa" w:w="1512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Cumulative Screens</w:t>
            </w:r>
          </w:p>
        </w:tc>
        <w:tc>
          <w:tcPr>
            <w:tcW w:type="dxa" w:w="1512"/>
            <w:tcW w:w="1530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Milestone Gate</w:t>
            </w:r>
          </w:p>
        </w:tc>
      </w:tr>
      <w:tr>
        <w:trPr>
          <w:cantSplit w:val="1"/>
        </w:trPr>
        <w:tc>
          <w:tcPr>
            <w:tcW w:type="dxa" w:w="1512"/>
            <w:tcW w:w="215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0: Foundation</w:t>
            </w:r>
          </w:p>
        </w:tc>
        <w:tc>
          <w:tcPr>
            <w:tcW w:type="dxa" w:w="1512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1–4</w:t>
            </w:r>
          </w:p>
        </w:tc>
        <w:tc>
          <w:tcPr>
            <w:tcW w:type="dxa" w:w="1512"/>
            <w:tcW w:w="294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Infrastructure, schema bootstrap, auth, CI/CD</w:t>
            </w:r>
          </w:p>
        </w:tc>
        <w:tc>
          <w:tcPr>
            <w:tcW w:type="dxa" w:w="1512"/>
            <w:tcW w:w="102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512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512"/>
            <w:tcW w:w="153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CI/CD Live</w:t>
            </w:r>
          </w:p>
        </w:tc>
      </w:tr>
      <w:tr>
        <w:trPr>
          <w:cantSplit w:val="1"/>
        </w:trPr>
        <w:tc>
          <w:tcPr>
            <w:tcW w:type="dxa" w:w="1512"/>
            <w:tcW w:w="215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1: Planning Spine MVP</w:t>
            </w:r>
          </w:p>
        </w:tc>
        <w:tc>
          <w:tcPr>
            <w:tcW w:type="dxa" w:w="1512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5–12</w:t>
            </w:r>
          </w:p>
        </w:tc>
        <w:tc>
          <w:tcPr>
            <w:tcW w:type="dxa" w:w="1512"/>
            <w:tcW w:w="294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Planning spine, reference dimensions, scenario/version management</w:t>
            </w:r>
          </w:p>
        </w:tc>
        <w:tc>
          <w:tcPr>
            <w:tcW w:type="dxa" w:w="1512"/>
            <w:tcW w:w="102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512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512"/>
            <w:tcW w:w="153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Version Control Live</w:t>
            </w:r>
          </w:p>
        </w:tc>
      </w:tr>
      <w:tr>
        <w:trPr>
          <w:cantSplit w:val="1"/>
        </w:trPr>
        <w:tc>
          <w:tcPr>
            <w:tcW w:type="dxa" w:w="1512"/>
            <w:tcW w:w="215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2: Driver &amp; Projection Engine</w:t>
            </w:r>
          </w:p>
        </w:tc>
        <w:tc>
          <w:tcPr>
            <w:tcW w:type="dxa" w:w="1512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13–24</w:t>
            </w:r>
          </w:p>
        </w:tc>
        <w:tc>
          <w:tcPr>
            <w:tcW w:type="dxa" w:w="1512"/>
            <w:tcW w:w="294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Commercial + cost + funding drivers, full P&amp;L / Cash Flow / Balance Sheet</w:t>
            </w:r>
          </w:p>
        </w:tc>
        <w:tc>
          <w:tcPr>
            <w:tcW w:type="dxa" w:w="1512"/>
            <w:tcW w:w="102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32</w:t>
            </w:r>
          </w:p>
        </w:tc>
        <w:tc>
          <w:tcPr>
            <w:tcW w:type="dxa" w:w="1512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512"/>
            <w:tcW w:w="153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P&amp;L Computed</w:t>
            </w:r>
          </w:p>
        </w:tc>
      </w:tr>
      <w:tr>
        <w:trPr>
          <w:cantSplit w:val="1"/>
        </w:trPr>
        <w:tc>
          <w:tcPr>
            <w:tcW w:type="dxa" w:w="1512"/>
            <w:tcW w:w="215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3: Scenario &amp; Intelligence</w:t>
            </w:r>
          </w:p>
        </w:tc>
        <w:tc>
          <w:tcPr>
            <w:tcW w:type="dxa" w:w="1512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25–36</w:t>
            </w:r>
          </w:p>
        </w:tc>
        <w:tc>
          <w:tcPr>
            <w:tcW w:type="dxa" w:w="1512"/>
            <w:tcW w:w="294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Scenario comparison, KPI engine, assumptions manager, driver explainability</w:t>
            </w:r>
          </w:p>
        </w:tc>
        <w:tc>
          <w:tcPr>
            <w:tcW w:type="dxa" w:w="1512"/>
            <w:tcW w:w="102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42</w:t>
            </w:r>
          </w:p>
        </w:tc>
        <w:tc>
          <w:tcPr>
            <w:tcW w:type="dxa" w:w="1512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1512"/>
            <w:tcW w:w="153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Scenario Compare Live</w:t>
            </w:r>
          </w:p>
        </w:tc>
      </w:tr>
      <w:tr>
        <w:trPr>
          <w:cantSplit w:val="1"/>
        </w:trPr>
        <w:tc>
          <w:tcPr>
            <w:tcW w:type="dxa" w:w="1512"/>
            <w:tcW w:w="215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4: Risk, Simulation &amp; Capital</w:t>
            </w:r>
          </w:p>
        </w:tc>
        <w:tc>
          <w:tcPr>
            <w:tcW w:type="dxa" w:w="1512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37–48</w:t>
            </w:r>
          </w:p>
        </w:tc>
        <w:tc>
          <w:tcPr>
            <w:tcW w:type="dxa" w:w="1512"/>
            <w:tcW w:w="294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Risk framework, Monte Carlo, simulation lab, capital strategy</w:t>
            </w:r>
          </w:p>
        </w:tc>
        <w:tc>
          <w:tcPr>
            <w:tcW w:type="dxa" w:w="1512"/>
            <w:tcW w:w="102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58</w:t>
            </w:r>
          </w:p>
        </w:tc>
        <w:tc>
          <w:tcPr>
            <w:tcW w:type="dxa" w:w="1512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24</w:t>
            </w:r>
          </w:p>
        </w:tc>
        <w:tc>
          <w:tcPr>
            <w:tcW w:type="dxa" w:w="1512"/>
            <w:tcW w:w="153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Monte Carlo Live</w:t>
            </w:r>
          </w:p>
        </w:tc>
      </w:tr>
      <w:tr>
        <w:trPr>
          <w:cantSplit w:val="1"/>
        </w:trPr>
        <w:tc>
          <w:tcPr>
            <w:tcW w:type="dxa" w:w="1512"/>
            <w:tcW w:w="215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5: Governance &amp; Portfolio</w:t>
            </w:r>
          </w:p>
        </w:tc>
        <w:tc>
          <w:tcPr>
            <w:tcW w:type="dxa" w:w="1512"/>
            <w:tcW w:w="85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49–60</w:t>
            </w:r>
          </w:p>
        </w:tc>
        <w:tc>
          <w:tcPr>
            <w:tcW w:type="dxa" w:w="1512"/>
            <w:tcW w:w="294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Full governance, decision memory, portfolio optimization</w:t>
            </w:r>
          </w:p>
        </w:tc>
        <w:tc>
          <w:tcPr>
            <w:tcW w:type="dxa" w:w="1512"/>
            <w:tcW w:w="102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66</w:t>
            </w:r>
          </w:p>
        </w:tc>
        <w:tc>
          <w:tcPr>
            <w:tcW w:type="dxa" w:w="1512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1512"/>
            <w:tcW w:w="1530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Governance Workflow</w:t>
            </w:r>
          </w:p>
        </w:tc>
      </w:tr>
      <w:tr>
        <w:trPr>
          <w:cantSplit w:val="1"/>
        </w:trPr>
        <w:tc>
          <w:tcPr>
            <w:tcW w:type="dxa" w:w="1512"/>
            <w:tcW w:w="215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6: Operational Extensions</w:t>
            </w:r>
          </w:p>
        </w:tc>
        <w:tc>
          <w:tcPr>
            <w:tcW w:type="dxa" w:w="1512"/>
            <w:tcW w:w="85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61+</w:t>
            </w:r>
          </w:p>
        </w:tc>
        <w:tc>
          <w:tcPr>
            <w:tcW w:type="dxa" w:w="1512"/>
            <w:tcW w:w="294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Optional: orders, kitchen stations, intraday, actuals ingestion</w:t>
            </w:r>
          </w:p>
        </w:tc>
        <w:tc>
          <w:tcPr>
            <w:tcW w:type="dxa" w:w="1512"/>
            <w:tcW w:w="102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77</w:t>
            </w:r>
          </w:p>
        </w:tc>
        <w:tc>
          <w:tcPr>
            <w:tcW w:type="dxa" w:w="1512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1512"/>
            <w:tcW w:w="1530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Actuals Ingested</w:t>
            </w:r>
          </w:p>
        </w:tc>
      </w:tr>
    </w:tbl>
    <w:p>
      <w:pPr>
        <w:spacing w:before="0" w:after="120"/>
      </w:pPr>
    </w:p>
    <w:p>
      <w:pPr>
        <w:spacing w:before="40" w:after="80"/>
      </w:pPr>
      <w:r>
        <w:rPr>
          <w:b/>
          <w:i w:val="0"/>
          <w:sz w:val="20"/>
        </w:rPr>
        <w:t>Total Scope: 73 Core Tables, 22+ Core Screens, 60 Weeks to full v3 scope.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2 — Build Principles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1. Finance-first build order:  </w:t>
      </w:r>
      <w:r>
        <w:rPr>
          <w:sz w:val="20"/>
        </w:rPr>
        <w:t>Build the planning spine before operational features.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2. Schema-first development:  </w:t>
      </w:r>
      <w:r>
        <w:rPr>
          <w:sz w:val="20"/>
        </w:rPr>
        <w:t>Finalise table contracts before building APIs or UI.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3. Scenario-driven from day one:  </w:t>
      </w:r>
      <w:r>
        <w:rPr>
          <w:sz w:val="20"/>
        </w:rPr>
        <w:t>Every data write must be scenario-aware.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4. No premature optimisation:  </w:t>
      </w:r>
      <w:r>
        <w:rPr>
          <w:sz w:val="20"/>
        </w:rPr>
        <w:t>Avoid building operational granularity until financial model is proven.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5. Explicit interface contracts:  </w:t>
      </w:r>
      <w:r>
        <w:rPr>
          <w:sz w:val="20"/>
        </w:rPr>
        <w:t>API contracts between services must be written before implementation begins.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6. Driver-before-actuals:  </w:t>
      </w:r>
      <w:r>
        <w:rPr>
          <w:sz w:val="20"/>
        </w:rPr>
        <w:t>Projection engine must work end-to-end before actuals bridge is built.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7. Scope taxonomy enforcement:  </w:t>
      </w:r>
      <w:r>
        <w:rPr>
          <w:sz w:val="20"/>
        </w:rPr>
        <w:t>Tag every ticket as Core v1 / Recommended v1.5 / Phase 2-3 / Optional Extension.</w:t>
      </w:r>
    </w:p>
    <w:p>
      <w:pPr>
        <w:spacing w:before="40" w:after="80"/>
      </w:pPr>
      <w:r>
        <w:rPr>
          <w:b w:val="0"/>
          <w:i w:val="0"/>
          <w:sz w:val="20"/>
        </w:rPr>
      </w:r>
      <w:r>
        <w:rPr>
          <w:b/>
          <w:color w:val="1A56BB"/>
          <w:sz w:val="20"/>
        </w:rPr>
        <w:t xml:space="preserve">8. Milestone-gate discipline:  </w:t>
      </w:r>
      <w:r>
        <w:rPr>
          <w:sz w:val="20"/>
        </w:rPr>
        <w:t>Each phase must pass its gate before the next phase begins.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3 — Phase 0: Foundation (Weeks 1–4)</w:t>
      </w:r>
    </w:p>
    <w:p>
      <w:pPr>
        <w:spacing w:before="40" w:after="80"/>
      </w:pPr>
      <w:r>
        <w:rPr>
          <w:b w:val="0"/>
          <w:i/>
          <w:color w:val="0E7C86"/>
          <w:sz w:val="20"/>
        </w:rPr>
        <w:t>Layer: Infrastructure &amp; Schema Bootstrap</w:t>
      </w:r>
    </w:p>
    <w:p>
      <w:pPr>
        <w:spacing w:before="0" w:after="8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Infrastructure Tasks</w:t>
      </w:r>
    </w:p>
    <w:p>
      <w:pPr>
        <w:pStyle w:val="ListBullet"/>
        <w:spacing w:before="20" w:after="20"/>
        <w:ind w:left="283"/>
      </w:pPr>
      <w:r>
        <w:rPr>
          <w:sz w:val="20"/>
        </w:rPr>
        <w:t>Cloud environment setup</w:t>
      </w:r>
    </w:p>
    <w:p>
      <w:pPr>
        <w:pStyle w:val="ListBullet"/>
        <w:spacing w:before="20" w:after="20"/>
        <w:ind w:left="283"/>
      </w:pPr>
      <w:r>
        <w:rPr>
          <w:sz w:val="20"/>
        </w:rPr>
        <w:t>CI/CD pipeline implementation</w:t>
      </w:r>
    </w:p>
    <w:p>
      <w:pPr>
        <w:pStyle w:val="ListBullet"/>
        <w:spacing w:before="20" w:after="20"/>
        <w:ind w:left="283"/>
      </w:pPr>
      <w:r>
        <w:rPr>
          <w:sz w:val="20"/>
        </w:rPr>
        <w:t>PostgreSQL database provisioning</w:t>
      </w:r>
    </w:p>
    <w:p>
      <w:pPr>
        <w:pStyle w:val="ListBullet"/>
        <w:spacing w:before="20" w:after="20"/>
        <w:ind w:left="283"/>
      </w:pPr>
      <w:r>
        <w:rPr>
          <w:sz w:val="20"/>
        </w:rPr>
        <w:t>Migration framework setup (Flyway / Liquibase)</w:t>
      </w:r>
    </w:p>
    <w:p>
      <w:pPr>
        <w:pStyle w:val="ListBullet"/>
        <w:spacing w:before="20" w:after="20"/>
        <w:ind w:left="283"/>
      </w:pPr>
      <w:r>
        <w:rPr>
          <w:sz w:val="20"/>
        </w:rPr>
        <w:t>Auth service implementation (JWT / OAuth2)</w:t>
      </w:r>
    </w:p>
    <w:p>
      <w:pPr>
        <w:pStyle w:val="ListBullet"/>
        <w:spacing w:before="20" w:after="20"/>
        <w:ind w:left="283"/>
      </w:pPr>
      <w:r>
        <w:rPr>
          <w:sz w:val="20"/>
        </w:rPr>
        <w:t>Monitoring and logging configuration</w:t>
      </w:r>
    </w:p>
    <w:p>
      <w:pPr>
        <w:pStyle w:val="ListBullet"/>
        <w:spacing w:before="20" w:after="20"/>
        <w:ind w:left="283"/>
      </w:pPr>
      <w:r>
        <w:rPr>
          <w:sz w:val="20"/>
        </w:rPr>
        <w:t>Staging environment deployment</w:t>
      </w:r>
    </w:p>
    <w:p>
      <w:pPr>
        <w:spacing w:before="0" w:after="12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Schema Bootstrap Conventions</w:t>
      </w:r>
    </w:p>
    <w:p>
      <w:pPr>
        <w:pStyle w:val="ListBullet"/>
        <w:spacing w:before="20" w:after="20"/>
        <w:ind w:left="283"/>
      </w:pPr>
      <w:r>
        <w:rPr>
          <w:sz w:val="20"/>
        </w:rPr>
        <w:t>Multi-tenancy schema design</w:t>
      </w:r>
    </w:p>
    <w:p>
      <w:pPr>
        <w:pStyle w:val="ListBullet"/>
        <w:spacing w:before="20" w:after="20"/>
        <w:ind w:left="283"/>
      </w:pPr>
      <w:r>
        <w:rPr>
          <w:sz w:val="20"/>
        </w:rPr>
        <w:t>UUID primary key convention</w:t>
      </w:r>
    </w:p>
    <w:p>
      <w:pPr>
        <w:pStyle w:val="ListBullet"/>
        <w:spacing w:before="20" w:after="20"/>
        <w:ind w:left="283"/>
      </w:pPr>
      <w:r>
        <w:rPr>
          <w:sz w:val="20"/>
        </w:rPr>
        <w:t>Audit fields pattern (created_by, updated_at)</w:t>
      </w:r>
    </w:p>
    <w:p>
      <w:pPr>
        <w:pStyle w:val="ListBullet"/>
        <w:spacing w:before="20" w:after="20"/>
        <w:ind w:left="283"/>
      </w:pPr>
      <w:r>
        <w:rPr>
          <w:sz w:val="20"/>
        </w:rPr>
        <w:t>Soft delete pattern</w:t>
      </w:r>
    </w:p>
    <w:p>
      <w:pPr>
        <w:pStyle w:val="ListBullet"/>
        <w:spacing w:before="20" w:after="20"/>
        <w:ind w:left="283"/>
      </w:pPr>
      <w:r>
        <w:rPr>
          <w:sz w:val="20"/>
        </w:rPr>
        <w:t>DECIMAL(19,4) money convention</w:t>
      </w:r>
    </w:p>
    <w:p>
      <w:pPr>
        <w:pStyle w:val="ListBullet"/>
        <w:spacing w:before="20" w:after="20"/>
        <w:ind w:left="283"/>
      </w:pPr>
      <w:r>
        <w:rPr>
          <w:sz w:val="20"/>
        </w:rPr>
        <w:t>JSON extensibility columns</w:t>
      </w:r>
    </w:p>
    <w:p>
      <w:pPr>
        <w:spacing w:before="0" w:after="12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Sprint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701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024"/>
            <w:tcW w:w="141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024"/>
            <w:tcW w:w="623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0.1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1–2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Dev environment setup, cloud infrastructure provisioning, CI/CD pipeline configuration.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0.2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3–4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Auth service implementation, schema migration framework setup, base table conventions, admin scaffolding.</w:t>
            </w:r>
          </w:p>
        </w:tc>
      </w:tr>
    </w:tbl>
    <w:p>
      <w:pPr>
        <w:spacing w:before="0" w:after="160"/>
      </w:pPr>
    </w:p>
    <w:p>
      <w:pPr>
        <w:spacing w:before="160" w:after="160"/>
        <w:ind w:left="170" w:right="170"/>
        <w:shd w:fill="FFF3CD" w:val="clear"/>
      </w:pPr>
      <w:r>
        <w:rPr>
          <w:b/>
          <w:color w:val="E68A00"/>
          <w:sz w:val="20"/>
        </w:rPr>
        <w:t xml:space="preserve">Milestone Gate: </w:t>
      </w:r>
      <w:r>
        <w:rPr>
          <w:color w:val="444444"/>
          <w:sz w:val="20"/>
        </w:rPr>
        <w:t>CI/CD live, schema migrations automated, auth working, dev/staging environments stable.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4 — Phase 1: Planning Spine MVP (Weeks 5–12)</w:t>
      </w:r>
    </w:p>
    <w:p>
      <w:pPr>
        <w:spacing w:before="40" w:after="80"/>
      </w:pPr>
      <w:r>
        <w:rPr>
          <w:b w:val="0"/>
          <w:i/>
          <w:color w:val="0E7C86"/>
          <w:sz w:val="20"/>
        </w:rPr>
        <w:t>Layer: Planning Spine &amp; Governance (Layer A)  +  Product &amp; Market Reference (Layer B)</w:t>
      </w:r>
    </w:p>
    <w:p>
      <w:pPr>
        <w:spacing w:before="0" w:after="8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Core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2551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Tables (8)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companies, planning_calendars, planning_periods, scenarios, assumption_sets, plan_versions, markets, kitchens, platforms, product_families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APIs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CRUD for all planning spine entities, scenario create/clone, assumption set versioning, plan version freeze/publish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Screens (3)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Screen 01: Home / Global Planning Overview</w:t>
              <w:br/>
              <w:t>Screen 16: Plan Version Manager</w:t>
              <w:br/>
              <w:t>Screen 02: Executive Planning Cockpit (skeleton)</w:t>
            </w:r>
          </w:p>
        </w:tc>
      </w:tr>
    </w:tbl>
    <w:p>
      <w:pPr>
        <w:spacing w:before="0" w:after="16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Sprint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701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024"/>
            <w:tcW w:w="141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024"/>
            <w:tcW w:w="623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1.1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5–6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companies, planning_calendars, planning_periods — basic CRUD APIs.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1.2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7–8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scenarios, assumption_sets, plan_versions — versioning and clone logic.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1.3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9–10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markets hierarchy (country &gt; cluster &gt; macro &gt; micro), kitchens, platforms, product_families.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1.4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11–12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Home screen, Plan Version Manager, Executive Cockpit skeleton, global scope/time/scenario selectors.</w:t>
            </w:r>
          </w:p>
        </w:tc>
      </w:tr>
    </w:tbl>
    <w:p>
      <w:pPr>
        <w:spacing w:before="0" w:after="160"/>
      </w:pPr>
    </w:p>
    <w:p>
      <w:pPr>
        <w:spacing w:before="160" w:after="160"/>
        <w:ind w:left="170" w:right="170"/>
        <w:shd w:fill="FFF3CD" w:val="clear"/>
      </w:pPr>
      <w:r>
        <w:rPr>
          <w:b/>
          <w:color w:val="E68A00"/>
          <w:sz w:val="20"/>
        </w:rPr>
        <w:t xml:space="preserve">Milestone Gate: </w:t>
      </w:r>
      <w:r>
        <w:rPr>
          <w:color w:val="444444"/>
          <w:sz w:val="20"/>
        </w:rPr>
        <w:t>Scenario and planning period CRUD complete, version control working, plan clone and freeze functional, reference dimensions seeded.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5 — Phase 2: Driver &amp; Projection Engine (Weeks 13–24)</w:t>
      </w:r>
    </w:p>
    <w:p>
      <w:pPr>
        <w:spacing w:before="40" w:after="80"/>
      </w:pPr>
      <w:r>
        <w:rPr>
          <w:b w:val="0"/>
          <w:i/>
          <w:color w:val="0E7C86"/>
          <w:sz w:val="20"/>
        </w:rPr>
        <w:t>Layer: Commercial Drivers (C)  +  Cost Drivers (D)  +  Funding (E)  +  Financial Projections (F)</w:t>
      </w:r>
    </w:p>
    <w:p>
      <w:pPr>
        <w:spacing w:before="0" w:after="8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Core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2551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Tables (+24)</w:t>
              <w:br/>
              <w:t>Commercial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demand_drivers, price_plans, mix_plans, revenue_projection_lines, assumption_confidence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Tables (+24)</w:t>
              <w:br/>
              <w:t>Cost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unit_cost_profiles, labor_models, headcount_plans, opex_plans, marketing_plans, capex_plans, working_capital_policies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Tables (+24)</w:t>
              <w:br/>
              <w:t>Funding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equity_rounds, debt_facilities, debt_repayment_schedules, capital_allocation_plans, dilution_models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Tables (+24)</w:t>
              <w:br/>
              <w:t>Financial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pnl_projections, cashflow_projections, balance_sheet_projections, unit_economics_projections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APIs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Driver input CRUD, projection computation engine (P&amp;L, Cash Flow, Balance Sheet), unit economics calculation, working capital modelling.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Screens (+7)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Screen 09: P&amp;L Console</w:t>
              <w:br/>
              <w:t>Screen 10: Cash Flow Console</w:t>
              <w:br/>
              <w:t>Screen 11: Balance Sheet Console</w:t>
              <w:br/>
              <w:t>Screen 12: Unit Economics Console</w:t>
              <w:br/>
              <w:t>Screens 06–08: Assumptions Manager (Demand / Cost / Funding Tabs)</w:t>
            </w:r>
          </w:p>
        </w:tc>
      </w:tr>
    </w:tbl>
    <w:p>
      <w:pPr>
        <w:spacing w:before="0" w:after="16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Sprint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701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024"/>
            <w:tcW w:w="141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024"/>
            <w:tcW w:w="623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2.1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13–14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demand_drivers, price_plans, mix_plans  +  demand driver API.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2.2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15–16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unit_cost_profiles, labor_models, headcount_plans  +  cost driver API.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2.3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17–18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opex_plans, marketing_plans, capex_plans, working_capital_policies.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2.4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19–20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equity_rounds, debt_facilities, repayment schedules, dilution_models.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2.5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21–22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pnl_projections, cashflow_projections, balance_sheet_projections — computation engine build.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2.6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23–24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unit_economics_projections, Assumptions Manager screens, P&amp;L / CF / BS / UE screens.</w:t>
            </w:r>
          </w:p>
        </w:tc>
      </w:tr>
    </w:tbl>
    <w:p>
      <w:pPr>
        <w:spacing w:before="0" w:after="160"/>
      </w:pPr>
    </w:p>
    <w:p>
      <w:pPr>
        <w:spacing w:before="160" w:after="160"/>
        <w:ind w:left="170" w:right="170"/>
        <w:shd w:fill="FFF3CD" w:val="clear"/>
      </w:pPr>
      <w:r>
        <w:rPr>
          <w:b/>
          <w:color w:val="E68A00"/>
          <w:sz w:val="20"/>
        </w:rPr>
        <w:t xml:space="preserve">Milestone Gate: </w:t>
      </w:r>
      <w:r>
        <w:rPr>
          <w:color w:val="444444"/>
          <w:sz w:val="20"/>
        </w:rPr>
        <w:t>P&amp;L projection computable end-to-end from driver inputs, unit economics waterfall working, all financial statements rendering in UI.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6 — Phase 3: Scenario &amp; Intelligence Layer (Weeks 25–36)</w:t>
      </w:r>
    </w:p>
    <w:p>
      <w:pPr>
        <w:spacing w:before="40" w:after="80"/>
      </w:pPr>
      <w:r>
        <w:rPr>
          <w:b w:val="0"/>
          <w:i/>
          <w:color w:val="0E7C86"/>
          <w:sz w:val="20"/>
        </w:rPr>
        <w:t>Layer: KPI &amp; Performance Intelligence (Layer G) — partial build</w:t>
      </w:r>
    </w:p>
    <w:p>
      <w:pPr>
        <w:spacing w:before="0" w:after="8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Core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2551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Tables (+10)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kpi_projections, driver_explainability, variance_attribution, performance_alerts, competitor_profiles, assumption_confidence (enhance), scenario comparison views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APIs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KPI computation, scenario comparison engine, explainability engine (EBITDA bridge, revenue bridge), alert generation logic.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Screens (+8)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Screen 03: Scenario Comparison Console</w:t>
              <w:br/>
              <w:t>Screen 02: Executive Cockpit (Full)</w:t>
              <w:br/>
              <w:t>Screen 15: Driver Explainability Console</w:t>
              <w:br/>
              <w:t>Screen 10: Market Rollout Planner</w:t>
              <w:br/>
              <w:t>Screen 11: Market Attractiveness Scoring</w:t>
              <w:br/>
              <w:t>Screen 19: Demand Driver Console</w:t>
              <w:br/>
              <w:t>Screen 21: Trigger &amp; Alert Dashboard</w:t>
            </w:r>
          </w:p>
        </w:tc>
      </w:tr>
    </w:tbl>
    <w:p>
      <w:pPr>
        <w:spacing w:before="0" w:after="16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Sprint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701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024"/>
            <w:tcW w:w="141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024"/>
            <w:tcW w:w="623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3.1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25–26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kpi_projections — all 21 KPI definitions and computation logic.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3.2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27–28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driver_explainability, variance_attribution — EBITDA and revenue bridges.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3.3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29–30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performance_alerts — threshold rules, severity coding, notification triggers.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3.4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31–32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Scenario Comparison Console, full Executive Cockpit integration.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3.5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33–34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Market Rollout Planner, Market Attractiveness Scoring, Driver Explainability Console.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3.6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35–36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Trigger &amp; Alert Dashboard, Demand Driver Console, Assumptions Working Capital tab.</w:t>
            </w:r>
          </w:p>
        </w:tc>
      </w:tr>
    </w:tbl>
    <w:p>
      <w:pPr>
        <w:spacing w:before="0" w:after="160"/>
      </w:pPr>
    </w:p>
    <w:p>
      <w:pPr>
        <w:spacing w:before="160" w:after="160"/>
        <w:ind w:left="170" w:right="170"/>
        <w:shd w:fill="FFF3CD" w:val="clear"/>
      </w:pPr>
      <w:r>
        <w:rPr>
          <w:b/>
          <w:color w:val="E68A00"/>
          <w:sz w:val="20"/>
        </w:rPr>
        <w:t xml:space="preserve">Milestone Gate: </w:t>
      </w:r>
      <w:r>
        <w:rPr>
          <w:color w:val="444444"/>
          <w:sz w:val="20"/>
        </w:rPr>
        <w:t>Scenario comparison operational end-to-end, all 21 KPIs displaying correctly, EBITDA bridge and revenue bridge computable.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7 — Phase 4: Risk, Simulation &amp; Capital (Weeks 37–48)</w:t>
      </w:r>
    </w:p>
    <w:p>
      <w:pPr>
        <w:spacing w:before="40" w:after="80"/>
      </w:pPr>
      <w:r>
        <w:rPr>
          <w:b w:val="0"/>
          <w:i/>
          <w:color w:val="0E7C86"/>
          <w:sz w:val="20"/>
        </w:rPr>
        <w:t>Layer: Risk &amp; Uncertainty (H)  +  Simulation (I)  +  Funding Enhancement</w:t>
      </w:r>
    </w:p>
    <w:p>
      <w:pPr>
        <w:spacing w:before="0" w:after="8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Core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2551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Tables (+16)</w:t>
              <w:br/>
              <w:t>Risk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risk_objects, risk_scenarios, monte_carlo_runs, monte_carlo_summaries, trigger_log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Tables (+16)</w:t>
              <w:br/>
              <w:t>Simulation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simulation_scenarios, simulation_results, sensitivity_analyses, decision_memory, decision_log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Tables (+16)</w:t>
              <w:br/>
              <w:t>Capital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capital_allocation_plans (enhance), raise_recommendation_models, covenant_tracking, runway_optimization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APIs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Monte Carlo engine, sensitivity analysis, simulator run API, capital raise recommendation, funding strategy computation.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Screens (+6)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Screen 17: Risk Management Dashboard</w:t>
              <w:br/>
              <w:t>Screen 18: Simulation Lab</w:t>
              <w:br/>
              <w:t>Screen 04: Cash &amp; Funding Console</w:t>
              <w:br/>
              <w:t>Screen 05: Capital Strategy Console</w:t>
              <w:br/>
              <w:t>Screen 12: Portfolio Optimization (partial)</w:t>
              <w:br/>
              <w:t>Screen 22: Decision Memory (partial)</w:t>
            </w:r>
          </w:p>
        </w:tc>
      </w:tr>
    </w:tbl>
    <w:p>
      <w:pPr>
        <w:spacing w:before="0" w:after="16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Sprint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701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024"/>
            <w:tcW w:w="141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024"/>
            <w:tcW w:w="623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4.1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37–38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risk_objects, risk_scenarios — risk taxonomy and registration.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4.2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39–40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monte_carlo_runs, monte_carlo_summaries — Monte Carlo compute engine.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4.3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41–42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sensitivity_analyses — tornado charts, sensitivity grids.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4.4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43–44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simulation_scenarios, simulation_results — simulation run framework.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4.5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45–46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Capital strategy: raise recommendation, runway optimisation, dilution modelling UI.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4.6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47–48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Risk Dashboard, Simulation Lab, Cash &amp; Funding Console, Capital Strategy Console.</w:t>
            </w:r>
          </w:p>
        </w:tc>
      </w:tr>
    </w:tbl>
    <w:p>
      <w:pPr>
        <w:spacing w:before="0" w:after="160"/>
      </w:pPr>
    </w:p>
    <w:p>
      <w:pPr>
        <w:spacing w:before="160" w:after="160"/>
        <w:ind w:left="170" w:right="170"/>
        <w:shd w:fill="FFF3CD" w:val="clear"/>
      </w:pPr>
      <w:r>
        <w:rPr>
          <w:b/>
          <w:color w:val="E68A00"/>
          <w:sz w:val="20"/>
        </w:rPr>
        <w:t xml:space="preserve">Milestone Gate: </w:t>
      </w:r>
      <w:r>
        <w:rPr>
          <w:color w:val="444444"/>
          <w:sz w:val="20"/>
        </w:rPr>
        <w:t>Monte Carlo runnable end-to-end, capital strategy computing correctly, risk objects operational, simulation lab functional.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8 — Phase 5: Governance &amp; Portfolio (Weeks 49–60)</w:t>
      </w:r>
    </w:p>
    <w:p>
      <w:pPr>
        <w:spacing w:before="40" w:after="80"/>
      </w:pPr>
      <w:r>
        <w:rPr>
          <w:b w:val="0"/>
          <w:i/>
          <w:color w:val="0E7C86"/>
          <w:sz w:val="20"/>
        </w:rPr>
        <w:t>Layer: Planning Spine Enrichment  +  Portfolio Construction (J)</w:t>
      </w:r>
    </w:p>
    <w:p>
      <w:pPr>
        <w:spacing w:before="0" w:after="8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Core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2551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Tables (+8)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governance_events, assumption_lineage, portfolio_plans, market_portfolio_scores, portfolio_capital_allocations, portfolio_return_metrics, decision_memory (enhance), approval_workflows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APIs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Governance workflow engine, approval state machine, portfolio optimisation, capital allocation across markets.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Screens (+4)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Screen 20: Planning Governance Dashboard</w:t>
              <w:br/>
              <w:t>Screen 22: Plan Version Manager (enhanced)</w:t>
              <w:br/>
              <w:t>Screen 12: Portfolio Optimisation Console (full)</w:t>
              <w:br/>
              <w:t>Screen 22: Decision Memory Browser (full)</w:t>
            </w:r>
          </w:p>
        </w:tc>
      </w:tr>
    </w:tbl>
    <w:p>
      <w:pPr>
        <w:spacing w:before="0" w:after="16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Sprint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701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024"/>
            <w:tcW w:w="141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024"/>
            <w:tcW w:w="623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5.1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49–50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governance_events, assumption_lineage — audit trail and lineage tracking.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5.2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51–52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Approval workflow engine: draft &gt; review &gt; approved &gt; published state machine.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5.3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53–54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portfolio_plans, market_portfolio_scores — portfolio scoring framework.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5.4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55–56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portfolio_capital_allocations, portfolio_return_metrics — capital allocation optimisation.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5.5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Weeks 57–58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Planning Governance Dashboard, enhanced Plan Version Manager.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5.6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Weeks 59–60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Portfolio Optimisation Console, Decision Memory Browser — full build.</w:t>
            </w:r>
          </w:p>
        </w:tc>
      </w:tr>
    </w:tbl>
    <w:p>
      <w:pPr>
        <w:spacing w:before="0" w:after="160"/>
      </w:pPr>
    </w:p>
    <w:p>
      <w:pPr>
        <w:spacing w:before="160" w:after="160"/>
        <w:ind w:left="170" w:right="170"/>
        <w:shd w:fill="FFF3CD" w:val="clear"/>
      </w:pPr>
      <w:r>
        <w:rPr>
          <w:b/>
          <w:color w:val="E68A00"/>
          <w:sz w:val="20"/>
        </w:rPr>
        <w:t xml:space="preserve">Milestone Gate: </w:t>
      </w:r>
      <w:r>
        <w:rPr>
          <w:color w:val="444444"/>
          <w:sz w:val="20"/>
        </w:rPr>
        <w:t>Governance approval workflow complete, portfolio capital allocation computing, decision memory logging correctly, all v3 core features operational.</w:t>
      </w:r>
    </w:p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9 — Phase 6: Operational Extensions (Weeks 61+)</w:t>
      </w:r>
    </w:p>
    <w:p>
      <w:pPr>
        <w:spacing w:before="40" w:after="80"/>
      </w:pPr>
      <w:r>
        <w:rPr>
          <w:b w:val="0"/>
          <w:i/>
          <w:color w:val="444444"/>
          <w:sz w:val="20"/>
        </w:rPr>
        <w:t>Note: These are optional extensions not part of the finance-first core but available for operational depth.</w:t>
      </w:r>
    </w:p>
    <w:p>
      <w:pPr>
        <w:spacing w:before="0" w:after="8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Core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2551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Tables (+11)</w:t>
            </w:r>
          </w:p>
        </w:tc>
        <w:tc>
          <w:tcPr>
            <w:tcW w:type="dxa" w:w="4536"/>
            <w:tcW w:w="680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order_headers, order_lines, kitchen_stations, staff_roster, actual_ingestion_log, intraday_demand_buckets, operational_events, product_variants, modifier_types, ingredient_bom, recipe_histories</w:t>
            </w:r>
          </w:p>
        </w:tc>
      </w:tr>
      <w:tr>
        <w:trPr>
          <w:cantSplit w:val="1"/>
        </w:trPr>
        <w:tc>
          <w:tcPr>
            <w:tcW w:type="dxa" w:w="4536"/>
            <w:tcW w:w="2551" w:type="dxa"/>
            <w:shd w:fill="DDDDDD" w:val="clear"/>
          </w:tcPr>
          <w:p>
            <w:pPr>
              <w:spacing w:before="40" w:after="40"/>
            </w:pPr>
            <w:r>
              <w:rPr>
                <w:b/>
                <w:color w:val="444444"/>
                <w:sz w:val="18"/>
              </w:rPr>
              <w:t>Trigger Criteria</w:t>
            </w:r>
          </w:p>
        </w:tc>
        <w:tc>
          <w:tcPr>
            <w:tcW w:type="dxa" w:w="4536"/>
            <w:tcW w:w="680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When business has sufficient operational data for actuals ingestion, or when operational optimisation becomes the priority.</w:t>
            </w:r>
          </w:p>
        </w:tc>
      </w:tr>
    </w:tbl>
    <w:p>
      <w:pPr>
        <w:spacing w:before="0" w:after="160"/>
      </w:pPr>
    </w:p>
    <w:p>
      <w:pPr>
        <w:pStyle w:val="Heading2"/>
        <w:spacing w:before="160" w:after="120"/>
        <w:keepNext w:val="1"/>
        <w:keepLines w:val="1"/>
      </w:pPr>
      <w:r>
        <w:rPr>
          <w:b/>
          <w:color w:val="0D1B3E"/>
          <w:sz w:val="28"/>
        </w:rPr>
        <w:t>Sprint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701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024"/>
            <w:tcW w:w="141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024"/>
            <w:tcW w:w="6237" w:type="dxa"/>
            <w:shd w:fill="1A56BB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6.1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 61+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actual_ingestion_log, order_headers, order_lines — actuals import framework.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6.2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 61+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intraday_demand_buckets, operational_events — hour-level demand tracking.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Sprint 6.3</w:t>
            </w:r>
          </w:p>
        </w:tc>
        <w:tc>
          <w:tcPr>
            <w:tcW w:type="dxa" w:w="3024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Week 61+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kitchen_stations, staff_roster — kitchen-level operational data.</w:t>
            </w:r>
          </w:p>
        </w:tc>
      </w:tr>
      <w:tr>
        <w:trPr>
          <w:cantSplit w:val="1"/>
        </w:trPr>
        <w:tc>
          <w:tcPr>
            <w:tcW w:type="dxa" w:w="3024"/>
            <w:tcW w:w="170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Sprint 6.4</w:t>
            </w:r>
          </w:p>
        </w:tc>
        <w:tc>
          <w:tcPr>
            <w:tcW w:type="dxa" w:w="3024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Week 61+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product_variants, modifier_types, ingredient_bom, recipe_histories — deep product data.</w:t>
            </w:r>
          </w:p>
        </w:tc>
      </w:tr>
    </w:tbl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10 — Table Delivery Mapping</w:t>
      </w:r>
    </w:p>
    <w:p>
      <w:pPr>
        <w:spacing w:before="40" w:after="80"/>
      </w:pPr>
      <w:r>
        <w:rPr>
          <w:b w:val="0"/>
          <w:i w:val="0"/>
          <w:sz w:val="20"/>
        </w:rPr>
        <w:t>Every database table mapped to its delivery phase and architecture layer.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024"/>
            <w:tcW w:w="198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24"/>
            <w:tcW w:w="6237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Tables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3024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Planning Spine &amp; Ref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companies, planning_calendars, planning_periods, scenarios, assumption_sets, plan_versions, markets, kitchens, platforms, product_families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024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Drivers &amp; Financials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demand_drivers, price_plans, mix_plans, revenue_projection_lines, assumption_confidence, unit_cost_profiles, labor_models, headcount_plans, opex_plans, marketing_plans, capex_plans, working_capital_policies, equity_rounds, debt_facilities, debt_repayment_schedules, capital_allocation_plans, dilution_models, pnl_projections, cashflow_projections, balance_sheet_projections, unit_economics_projections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3024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kpi_projections, driver_explainability, variance_attribution, performance_alerts, competitor_profiles, scenario_comparisons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3024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Risk &amp; Simulation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risk_objects, risk_scenarios, monte_carlo_runs, monte_carlo_summaries, trigger_log, simulation_scenarios, simulation_results, sensitivity_analyses, decision_memory, decision_log, raise_recommendation_models, covenant_tracking, runway_optimization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3024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Governance &amp; Portfolio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governance_events, assumption_lineage, portfolio_plans, market_portfolio_scores, portfolio_capital_allocations, portfolio_return_metrics, approval_workflows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6</w:t>
            </w:r>
          </w:p>
        </w:tc>
        <w:tc>
          <w:tcPr>
            <w:tcW w:type="dxa" w:w="3024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Extensions (Optional)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order_headers, order_lines, kitchen_stations, staff_roster, actual_ingestion_log, intraday_demand_buckets, operational_events, product_variants, modifier_types, ingredient_bom, recipe_histories</w:t>
            </w:r>
          </w:p>
        </w:tc>
      </w:tr>
    </w:tbl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11 — Screen Delivery Mapping</w:t>
      </w:r>
    </w:p>
    <w:p>
      <w:pPr>
        <w:spacing w:before="40" w:after="80"/>
      </w:pPr>
      <w:r>
        <w:rPr>
          <w:b w:val="0"/>
          <w:i w:val="0"/>
          <w:sz w:val="20"/>
        </w:rPr>
        <w:t>All 28 dashboard screens mapped to delivery phase and primary user.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024"/>
            <w:tcW w:w="6237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Screens</w:t>
            </w:r>
          </w:p>
        </w:tc>
        <w:tc>
          <w:tcPr>
            <w:tcW w:type="dxa" w:w="3024"/>
            <w:tcW w:w="198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Primary User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Home/Overview, Plan Version Manager, Executive Cockpit (Skeleton)</w:t>
            </w:r>
          </w:p>
        </w:tc>
        <w:tc>
          <w:tcPr>
            <w:tcW w:type="dxa" w:w="3024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Admin / CEO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P&amp;L Console, Cash Flow Console, Balance Sheet Console, Unit Economics, Assumptions Manager (Demand / Cost / Funding)</w:t>
            </w:r>
          </w:p>
        </w:tc>
        <w:tc>
          <w:tcPr>
            <w:tcW w:type="dxa" w:w="3024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CFO / Analyst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Scenario Comparison Console, Executive Cockpit (Full), Driver Explainability Console, Market Rollout Planner, Market Attractiveness Scoring, Demand Driver Console, Trigger &amp; Alert Dashboard</w:t>
            </w:r>
          </w:p>
        </w:tc>
        <w:tc>
          <w:tcPr>
            <w:tcW w:type="dxa" w:w="3024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CEO / CFO / COO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3024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Risk Management Dashboard, Simulation Lab, Cash &amp; Funding Console, Capital Strategy Console, Portfolio Optimisation (Partial)</w:t>
            </w:r>
          </w:p>
        </w:tc>
        <w:tc>
          <w:tcPr>
            <w:tcW w:type="dxa" w:w="3024"/>
            <w:tcW w:w="198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CFO / Risk Lead</w:t>
            </w:r>
          </w:p>
        </w:tc>
      </w:tr>
      <w:tr>
        <w:trPr>
          <w:cantSplit w:val="1"/>
        </w:trPr>
        <w:tc>
          <w:tcPr>
            <w:tcW w:type="dxa" w:w="3024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3024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Planning Governance Dashboard, Plan Version Manager (Full), Portfolio Optimisation Console (Full), Decision Memory Browser</w:t>
            </w:r>
          </w:p>
        </w:tc>
        <w:tc>
          <w:tcPr>
            <w:tcW w:type="dxa" w:w="3024"/>
            <w:tcW w:w="198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CFO / CEO</w:t>
            </w:r>
          </w:p>
        </w:tc>
      </w:tr>
    </w:tbl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12 — Module Dependency Map</w:t>
      </w:r>
    </w:p>
    <w:p>
      <w:pPr>
        <w:spacing w:before="40" w:after="80"/>
      </w:pPr>
      <w:r>
        <w:rPr>
          <w:b w:val="0"/>
          <w:i w:val="0"/>
          <w:sz w:val="20"/>
        </w:rPr>
        <w:t>Build-order dependencies between engine modules. Each module must be complete before its dependents are started.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3118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Module (Must Be Complete)</w:t>
            </w:r>
          </w:p>
        </w:tc>
        <w:tc>
          <w:tcPr>
            <w:tcW w:type="dxa" w:w="4536"/>
            <w:tcW w:w="6237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Enables / Unlocks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Planning Spine</w:t>
            </w:r>
          </w:p>
        </w:tc>
        <w:tc>
          <w:tcPr>
            <w:tcW w:type="dxa" w:w="453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All drivers, all projections, all screens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Demand Drivers</w:t>
            </w:r>
          </w:p>
        </w:tc>
        <w:tc>
          <w:tcPr>
            <w:tcW w:type="dxa" w:w="4536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Revenue Projections, KPIs, Scenario Comparison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Cost Drivers</w:t>
            </w:r>
          </w:p>
        </w:tc>
        <w:tc>
          <w:tcPr>
            <w:tcW w:type="dxa" w:w="453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P&amp;L, EBITDA, Unit Economics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Funding &amp; Capital</w:t>
            </w:r>
          </w:p>
        </w:tc>
        <w:tc>
          <w:tcPr>
            <w:tcW w:type="dxa" w:w="4536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Cash Flow, Balance Sheet, Capital Strategy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Financial Projections</w:t>
            </w:r>
          </w:p>
        </w:tc>
        <w:tc>
          <w:tcPr>
            <w:tcW w:type="dxa" w:w="453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KPI Layer, Scenario Comparison, Driver Explainability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KPI Layer</w:t>
            </w:r>
          </w:p>
        </w:tc>
        <w:tc>
          <w:tcPr>
            <w:tcW w:type="dxa" w:w="4536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Executive Cockpit (full), Trigger Alerts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Risk Framework</w:t>
            </w:r>
          </w:p>
        </w:tc>
        <w:tc>
          <w:tcPr>
            <w:tcW w:type="dxa" w:w="453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Simulation Lab, Monte Carlo outputs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Simulation Layer</w:t>
            </w:r>
          </w:p>
        </w:tc>
        <w:tc>
          <w:tcPr>
            <w:tcW w:type="dxa" w:w="4536"/>
            <w:tcW w:w="623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Decision Memory</w:t>
            </w:r>
          </w:p>
        </w:tc>
      </w:tr>
      <w:tr>
        <w:trPr>
          <w:cantSplit w:val="1"/>
        </w:trPr>
        <w:tc>
          <w:tcPr>
            <w:tcW w:type="dxa" w:w="4536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Portfolio Layer</w:t>
            </w:r>
          </w:p>
        </w:tc>
        <w:tc>
          <w:tcPr>
            <w:tcW w:type="dxa" w:w="4536"/>
            <w:tcW w:w="623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Capital Allocation Optimisation</w:t>
            </w:r>
          </w:p>
        </w:tc>
      </w:tr>
    </w:tbl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13 — Team Structure</w:t>
      </w:r>
    </w:p>
    <w:p>
      <w:pPr>
        <w:spacing w:before="40" w:after="80"/>
      </w:pPr>
      <w:r>
        <w:rPr>
          <w:b w:val="0"/>
          <w:i w:val="0"/>
          <w:sz w:val="20"/>
        </w:rPr>
        <w:t>Recommended team composition per phase. Roles are additive — earlier hires remain throughout.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 w:val="1"/>
        </w:trPr>
        <w:tc>
          <w:tcPr>
            <w:tcW w:type="dxa" w:w="2268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68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Team Size</w:t>
            </w:r>
          </w:p>
        </w:tc>
        <w:tc>
          <w:tcPr>
            <w:tcW w:type="dxa" w:w="2268"/>
            <w:tcW w:w="2268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Addition</w:t>
            </w:r>
          </w:p>
        </w:tc>
        <w:tc>
          <w:tcPr>
            <w:tcW w:type="dxa" w:w="2268"/>
            <w:tcW w:w="4819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Composition</w:t>
            </w:r>
          </w:p>
        </w:tc>
      </w:tr>
      <w:tr>
        <w:trPr>
          <w:cantSplit w:val="1"/>
        </w:trPr>
        <w:tc>
          <w:tcPr>
            <w:tcW w:type="dxa" w:w="226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0–1</w:t>
            </w:r>
          </w:p>
        </w:tc>
        <w:tc>
          <w:tcPr>
            <w:tcW w:type="dxa" w:w="226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Core Team</w:t>
            </w:r>
          </w:p>
        </w:tc>
        <w:tc>
          <w:tcPr>
            <w:tcW w:type="dxa" w:w="2268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1 Tech Lead, 1 Backend Engineer, 1 Frontend Engineer, 1 Product Manager</w:t>
            </w:r>
          </w:p>
        </w:tc>
      </w:tr>
      <w:tr>
        <w:trPr>
          <w:cantSplit w:val="1"/>
        </w:trPr>
        <w:tc>
          <w:tcPr>
            <w:tcW w:type="dxa" w:w="226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226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268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+1 Backend, +1 Data Engineer</w:t>
            </w:r>
          </w:p>
        </w:tc>
        <w:tc>
          <w:tcPr>
            <w:tcW w:type="dxa" w:w="2268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Core team  +  1 Backend Engineer  +  1 Data Engineer</w:t>
            </w:r>
          </w:p>
        </w:tc>
      </w:tr>
      <w:tr>
        <w:trPr>
          <w:cantSplit w:val="1"/>
        </w:trPr>
        <w:tc>
          <w:tcPr>
            <w:tcW w:type="dxa" w:w="226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226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268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+1 Frontend/UI Engineer</w:t>
            </w:r>
          </w:p>
        </w:tc>
        <w:tc>
          <w:tcPr>
            <w:tcW w:type="dxa" w:w="2268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2 team  +  1 Frontend / UI Engineer</w:t>
            </w:r>
          </w:p>
        </w:tc>
      </w:tr>
      <w:tr>
        <w:trPr>
          <w:cantSplit w:val="1"/>
        </w:trPr>
        <w:tc>
          <w:tcPr>
            <w:tcW w:type="dxa" w:w="226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2268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226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+1 Data Scientist / Quant</w:t>
            </w:r>
          </w:p>
        </w:tc>
        <w:tc>
          <w:tcPr>
            <w:tcW w:type="dxa" w:w="2268"/>
            <w:tcW w:w="4819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3 team  +  1 Data Scientist / Quant Analyst</w:t>
            </w:r>
          </w:p>
        </w:tc>
      </w:tr>
      <w:tr>
        <w:trPr>
          <w:cantSplit w:val="1"/>
        </w:trPr>
        <w:tc>
          <w:tcPr>
            <w:tcW w:type="dxa" w:w="226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2268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226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+1 Backend Engineer</w:t>
            </w:r>
          </w:p>
        </w:tc>
        <w:tc>
          <w:tcPr>
            <w:tcW w:type="dxa" w:w="2268"/>
            <w:tcW w:w="4819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4 team  +  1 Backend Engineer</w:t>
            </w:r>
          </w:p>
        </w:tc>
      </w:tr>
    </w:tbl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14 — Testing Strategy</w:t>
      </w:r>
    </w:p>
    <w:p>
      <w:pPr>
        <w:spacing w:before="40" w:after="80"/>
      </w:pPr>
      <w:r>
        <w:rPr>
          <w:b w:val="0"/>
          <w:i w:val="0"/>
          <w:sz w:val="20"/>
        </w:rPr>
        <w:t>Phase-by-phase testing requirements to ensure quality gates are met before advancing.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536"/>
            <w:tcW w:w="8221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Testing Scope</w:t>
            </w:r>
          </w:p>
        </w:tc>
      </w:tr>
      <w:tr>
        <w:trPr>
          <w:cantSplit w:val="1"/>
        </w:trPr>
        <w:tc>
          <w:tcPr>
            <w:tcW w:type="dxa" w:w="4536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4536"/>
            <w:tcW w:w="822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Unit tests for CRUD; integration tests for scenario clone and version freeze logic.</w:t>
            </w:r>
          </w:p>
        </w:tc>
      </w:tr>
      <w:tr>
        <w:trPr>
          <w:cantSplit w:val="1"/>
        </w:trPr>
        <w:tc>
          <w:tcPr>
            <w:tcW w:type="dxa" w:w="4536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4536"/>
            <w:tcW w:w="822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Computation accuracy tests for P&amp;L / CF / BS / UE; driver input validation tests.</w:t>
            </w:r>
          </w:p>
        </w:tc>
      </w:tr>
      <w:tr>
        <w:trPr>
          <w:cantSplit w:val="1"/>
        </w:trPr>
        <w:tc>
          <w:tcPr>
            <w:tcW w:type="dxa" w:w="4536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4536"/>
            <w:tcW w:w="822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KPI computation accuracy; scenario comparison diff tests; explainability output validation.</w:t>
            </w:r>
          </w:p>
        </w:tc>
      </w:tr>
      <w:tr>
        <w:trPr>
          <w:cantSplit w:val="1"/>
        </w:trPr>
        <w:tc>
          <w:tcPr>
            <w:tcW w:type="dxa" w:w="4536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4536"/>
            <w:tcW w:w="822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Monte Carlo distribution validation; simulation repeatability; capital computation accuracy.</w:t>
            </w:r>
          </w:p>
        </w:tc>
      </w:tr>
      <w:tr>
        <w:trPr>
          <w:cantSplit w:val="1"/>
        </w:trPr>
        <w:tc>
          <w:tcPr>
            <w:tcW w:type="dxa" w:w="4536"/>
            <w:tcW w:w="1134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4536"/>
            <w:tcW w:w="8221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Governance workflow state machine tests; portfolio optimisation correctness.</w:t>
            </w:r>
          </w:p>
        </w:tc>
      </w:tr>
      <w:tr>
        <w:trPr>
          <w:cantSplit w:val="1"/>
        </w:trPr>
        <w:tc>
          <w:tcPr>
            <w:tcW w:type="dxa" w:w="4536"/>
            <w:tcW w:w="1134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6</w:t>
            </w:r>
          </w:p>
        </w:tc>
        <w:tc>
          <w:tcPr>
            <w:tcW w:type="dxa" w:w="4536"/>
            <w:tcW w:w="8221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Data ingestion accuracy; actuals vs projections variance computation.</w:t>
            </w:r>
          </w:p>
        </w:tc>
      </w:tr>
    </w:tbl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15 — Delivery Risk Register</w:t>
      </w:r>
    </w:p>
    <w:p>
      <w:pPr>
        <w:spacing w:before="40" w:after="80"/>
      </w:pPr>
      <w:r>
        <w:rPr>
          <w:b w:val="0"/>
          <w:i w:val="0"/>
          <w:sz w:val="20"/>
        </w:rPr>
        <w:t>Key delivery risks with likelihood, impact, and mitigations. Review at each phase gate.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 w:val="1"/>
        </w:trPr>
        <w:tc>
          <w:tcPr>
            <w:tcW w:type="dxa" w:w="2268"/>
            <w:tcW w:w="3118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268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268"/>
            <w:tcW w:w="1134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268"/>
            <w:tcW w:w="3969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rPr>
          <w:cantSplit w:val="1"/>
        </w:trPr>
        <w:tc>
          <w:tcPr>
            <w:tcW w:type="dxa" w:w="226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Scope creep into operational features before financial core is stable</w:t>
            </w:r>
          </w:p>
        </w:tc>
        <w:tc>
          <w:tcPr>
            <w:tcW w:type="dxa" w:w="2268"/>
            <w:tcW w:w="1134" w:type="dxa"/>
            <w:shd w:fill="F5F5F5" w:val="clear"/>
            <w:shd w:fill="E68A00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Medium</w:t>
            </w:r>
          </w:p>
        </w:tc>
        <w:tc>
          <w:tcPr>
            <w:tcW w:type="dxa" w:w="2268"/>
            <w:tcW w:w="1134" w:type="dxa"/>
            <w:shd w:fill="F5F5F5" w:val="clear"/>
            <w:shd w:fill="C0392B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2268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Enforce scope taxonomy tagging; phase gate reviews.</w:t>
            </w:r>
          </w:p>
        </w:tc>
      </w:tr>
      <w:tr>
        <w:trPr>
          <w:cantSplit w:val="1"/>
        </w:trPr>
        <w:tc>
          <w:tcPr>
            <w:tcW w:type="dxa" w:w="226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Computation engine performance degradation at scale</w:t>
            </w:r>
          </w:p>
        </w:tc>
        <w:tc>
          <w:tcPr>
            <w:tcW w:type="dxa" w:w="2268"/>
            <w:tcW w:w="1134" w:type="dxa"/>
            <w:shd w:fill="FFFFFF" w:val="clear"/>
            <w:shd w:fill="E68A00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Medium</w:t>
            </w:r>
          </w:p>
        </w:tc>
        <w:tc>
          <w:tcPr>
            <w:tcW w:type="dxa" w:w="2268"/>
            <w:tcW w:w="1134" w:type="dxa"/>
            <w:shd w:fill="FFFFFF" w:val="clear"/>
            <w:shd w:fill="C0392B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2268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Performance-test at Phase 2; design for async computation jobs.</w:t>
            </w:r>
          </w:p>
        </w:tc>
      </w:tr>
      <w:tr>
        <w:trPr>
          <w:cantSplit w:val="1"/>
        </w:trPr>
        <w:tc>
          <w:tcPr>
            <w:tcW w:type="dxa" w:w="226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Monte Carlo engine complexity underestimated</w:t>
            </w:r>
          </w:p>
        </w:tc>
        <w:tc>
          <w:tcPr>
            <w:tcW w:type="dxa" w:w="2268"/>
            <w:tcW w:w="1134" w:type="dxa"/>
            <w:shd w:fill="F5F5F5" w:val="clear"/>
            <w:shd w:fill="1A7A4A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Low</w:t>
            </w:r>
          </w:p>
        </w:tc>
        <w:tc>
          <w:tcPr>
            <w:tcW w:type="dxa" w:w="2268"/>
            <w:tcW w:w="1134" w:type="dxa"/>
            <w:shd w:fill="F5F5F5" w:val="clear"/>
            <w:shd w:fill="C0392B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2268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Bring in quant / data science resource before Phase 4 begins.</w:t>
            </w:r>
          </w:p>
        </w:tc>
      </w:tr>
      <w:tr>
        <w:trPr>
          <w:cantSplit w:val="1"/>
        </w:trPr>
        <w:tc>
          <w:tcPr>
            <w:tcW w:type="dxa" w:w="226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Team bandwidth squeeze during Phase 2–3 overlap</w:t>
            </w:r>
          </w:p>
        </w:tc>
        <w:tc>
          <w:tcPr>
            <w:tcW w:type="dxa" w:w="2268"/>
            <w:tcW w:w="1134" w:type="dxa"/>
            <w:shd w:fill="FFFFFF" w:val="clear"/>
            <w:shd w:fill="E68A00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Medium</w:t>
            </w:r>
          </w:p>
        </w:tc>
        <w:tc>
          <w:tcPr>
            <w:tcW w:type="dxa" w:w="2268"/>
            <w:tcW w:w="1134" w:type="dxa"/>
            <w:shd w:fill="FFFFFF" w:val="clear"/>
            <w:shd w:fill="E68A00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Medium</w:t>
            </w:r>
          </w:p>
        </w:tc>
        <w:tc>
          <w:tcPr>
            <w:tcW w:type="dxa" w:w="2268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Hire backend engineer before Phase 2 starts.</w:t>
            </w:r>
          </w:p>
        </w:tc>
      </w:tr>
      <w:tr>
        <w:trPr>
          <w:cantSplit w:val="1"/>
        </w:trPr>
        <w:tc>
          <w:tcPr>
            <w:tcW w:type="dxa" w:w="226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Driver model changes breaking projection recalculation</w:t>
            </w:r>
          </w:p>
        </w:tc>
        <w:tc>
          <w:tcPr>
            <w:tcW w:type="dxa" w:w="2268"/>
            <w:tcW w:w="1134" w:type="dxa"/>
            <w:shd w:fill="F5F5F5" w:val="clear"/>
            <w:shd w:fill="C0392B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2268"/>
            <w:tcW w:w="1134" w:type="dxa"/>
            <w:shd w:fill="F5F5F5" w:val="clear"/>
            <w:shd w:fill="C0392B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2268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Version-lock driver inputs per scenario; recompute on version change only.</w:t>
            </w:r>
          </w:p>
        </w:tc>
      </w:tr>
      <w:tr>
        <w:trPr>
          <w:cantSplit w:val="1"/>
        </w:trPr>
        <w:tc>
          <w:tcPr>
            <w:tcW w:type="dxa" w:w="2268"/>
            <w:tcW w:w="311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Schema migration errors in production</w:t>
            </w:r>
          </w:p>
        </w:tc>
        <w:tc>
          <w:tcPr>
            <w:tcW w:type="dxa" w:w="2268"/>
            <w:tcW w:w="1134" w:type="dxa"/>
            <w:shd w:fill="FFFFFF" w:val="clear"/>
            <w:shd w:fill="1A7A4A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Low</w:t>
            </w:r>
          </w:p>
        </w:tc>
        <w:tc>
          <w:tcPr>
            <w:tcW w:type="dxa" w:w="2268"/>
            <w:tcW w:w="1134" w:type="dxa"/>
            <w:shd w:fill="FFFFFF" w:val="clear"/>
            <w:shd w:fill="C0392B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2268"/>
            <w:tcW w:w="3969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Use forward-only migrations; maintain schema rollback scripts.</w:t>
            </w:r>
          </w:p>
        </w:tc>
      </w:tr>
      <w:tr>
        <w:trPr>
          <w:cantSplit w:val="1"/>
        </w:trPr>
        <w:tc>
          <w:tcPr>
            <w:tcW w:type="dxa" w:w="2268"/>
            <w:tcW w:w="311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UI complexity explosion from 22 screens</w:t>
            </w:r>
          </w:p>
        </w:tc>
        <w:tc>
          <w:tcPr>
            <w:tcW w:type="dxa" w:w="2268"/>
            <w:tcW w:w="1134" w:type="dxa"/>
            <w:shd w:fill="F5F5F5" w:val="clear"/>
            <w:shd w:fill="E68A00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Medium</w:t>
            </w:r>
          </w:p>
        </w:tc>
        <w:tc>
          <w:tcPr>
            <w:tcW w:type="dxa" w:w="2268"/>
            <w:tcW w:w="1134" w:type="dxa"/>
            <w:shd w:fill="F5F5F5" w:val="clear"/>
            <w:shd w:fill="E68A00" w:val="clear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Medium</w:t>
            </w:r>
          </w:p>
        </w:tc>
        <w:tc>
          <w:tcPr>
            <w:tcW w:type="dxa" w:w="2268"/>
            <w:tcW w:w="3969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Build design system and component library before Phase 2 UI begins.</w:t>
            </w:r>
          </w:p>
        </w:tc>
      </w:tr>
    </w:tbl>
    <w:p>
      <w:pPr>
        <w:pStyle w:val="Heading1"/>
        <w:pageBreakBefore w:val="1"/>
        <w:spacing w:before="240" w:after="120"/>
        <w:keepNext w:val="1"/>
        <w:keepLines w:val="1"/>
      </w:pPr>
      <w:r>
        <w:rPr>
          <w:b/>
          <w:color w:val="0D1B3E"/>
          <w:sz w:val="36"/>
        </w:rPr>
        <w:t>Section 16 — Definition of Done (Per Phase)</w:t>
      </w:r>
    </w:p>
    <w:p>
      <w:pPr>
        <w:spacing w:before="40" w:after="80"/>
      </w:pPr>
      <w:r>
        <w:rPr>
          <w:b w:val="0"/>
          <w:i w:val="0"/>
          <w:sz w:val="20"/>
        </w:rPr>
        <w:t>Each phase must meet all criteria before the next phase commences. Gates are mandatory.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  <w:tcW w:w="1417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 Gate</w:t>
            </w:r>
          </w:p>
        </w:tc>
        <w:tc>
          <w:tcPr>
            <w:tcW w:type="dxa" w:w="4536"/>
            <w:tcW w:w="7938" w:type="dxa"/>
            <w:shd w:fill="0D1B3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Definition of Done</w:t>
            </w:r>
          </w:p>
        </w:tc>
      </w:tr>
      <w:tr>
        <w:trPr>
          <w:cantSplit w:val="1"/>
        </w:trPr>
        <w:tc>
          <w:tcPr>
            <w:tcW w:type="dxa" w:w="4536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0 &gt; 1</w:t>
            </w:r>
          </w:p>
        </w:tc>
        <w:tc>
          <w:tcPr>
            <w:tcW w:type="dxa" w:w="4536"/>
            <w:tcW w:w="793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CI/CD live, schema migrations automated, auth working, dev/staging environments stable.</w:t>
            </w:r>
          </w:p>
        </w:tc>
      </w:tr>
      <w:tr>
        <w:trPr>
          <w:cantSplit w:val="1"/>
        </w:trPr>
        <w:tc>
          <w:tcPr>
            <w:tcW w:type="dxa" w:w="4536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1 &gt; 2</w:t>
            </w:r>
          </w:p>
        </w:tc>
        <w:tc>
          <w:tcPr>
            <w:tcW w:type="dxa" w:w="4536"/>
            <w:tcW w:w="793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Scenario CRUD complete, version control and clone functional, reference dimensions seeded.</w:t>
            </w:r>
          </w:p>
        </w:tc>
      </w:tr>
      <w:tr>
        <w:trPr>
          <w:cantSplit w:val="1"/>
        </w:trPr>
        <w:tc>
          <w:tcPr>
            <w:tcW w:type="dxa" w:w="4536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2 &gt; 3</w:t>
            </w:r>
          </w:p>
        </w:tc>
        <w:tc>
          <w:tcPr>
            <w:tcW w:type="dxa" w:w="4536"/>
            <w:tcW w:w="793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P&amp;L, Cash Flow, and Balance Sheet computable end-to-end; unit economics rendering in UI.</w:t>
            </w:r>
          </w:p>
        </w:tc>
      </w:tr>
      <w:tr>
        <w:trPr>
          <w:cantSplit w:val="1"/>
        </w:trPr>
        <w:tc>
          <w:tcPr>
            <w:tcW w:type="dxa" w:w="4536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3 &gt; 4</w:t>
            </w:r>
          </w:p>
        </w:tc>
        <w:tc>
          <w:tcPr>
            <w:tcW w:type="dxa" w:w="4536"/>
            <w:tcW w:w="793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Scenario comparison operational; all 21 KPIs displaying correctly; EBITDA bridge and revenue bridge computable.</w:t>
            </w:r>
          </w:p>
        </w:tc>
      </w:tr>
      <w:tr>
        <w:trPr>
          <w:cantSplit w:val="1"/>
        </w:trPr>
        <w:tc>
          <w:tcPr>
            <w:tcW w:type="dxa" w:w="4536"/>
            <w:tcW w:w="1417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Phase 4 &gt; 5</w:t>
            </w:r>
          </w:p>
        </w:tc>
        <w:tc>
          <w:tcPr>
            <w:tcW w:type="dxa" w:w="4536"/>
            <w:tcW w:w="7938" w:type="dxa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Monte Carlo functional; capital strategy computing; risk objects operational; simulation lab live.</w:t>
            </w:r>
          </w:p>
        </w:tc>
      </w:tr>
      <w:tr>
        <w:trPr>
          <w:cantSplit w:val="1"/>
        </w:trPr>
        <w:tc>
          <w:tcPr>
            <w:tcW w:type="dxa" w:w="4536"/>
            <w:tcW w:w="1417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Phase 5 &gt; 6</w:t>
            </w:r>
          </w:p>
        </w:tc>
        <w:tc>
          <w:tcPr>
            <w:tcW w:type="dxa" w:w="4536"/>
            <w:tcW w:w="7938" w:type="dxa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Governance approval workflow complete; portfolio capital allocation computing; decision memory logging; all core v3 features operational.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6"/>
      </w:rPr>
      <w:t>Finance-First F&amp;B Projection Engine  |  Phased Engineering Roadmap v3.0  |  2026-03-30</w:t>
    </w:r>
    <w:r>
      <w:rPr>
        <w:color w:val="444444"/>
        <w:sz w:val="16"/>
      </w:rPr>
      <w:t xml:space="preserve">   |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