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61A0"/>
          <w:sz w:val="72"/>
        </w:rPr>
        <w:t>TIMEWISE</w:t>
      </w:r>
    </w:p>
    <w:p>
      <w:pPr>
        <w:jc w:val="center"/>
      </w:pPr>
      <w:r>
        <w:rPr>
          <w:color w:val="17324D"/>
          <w:sz w:val="38"/>
        </w:rPr>
        <w:t>Product Design Documentation</w:t>
      </w:r>
    </w:p>
    <w:p>
      <w:pPr>
        <w:jc w:val="center"/>
      </w:pPr>
      <w:r>
        <w:rPr>
          <w:i/>
          <w:color w:val="697586"/>
          <w:sz w:val="20"/>
        </w:rPr>
        <w:t>Version 1.0 · October 2026</w:t>
      </w:r>
    </w:p>
    <w:p/>
    <w:p>
      <w:pPr>
        <w:jc w:val="center"/>
      </w:pPr>
      <w:r>
        <w:rPr>
          <w:sz w:val="24"/>
        </w:rPr>
        <w:t>Design handoff for the TIMEWISE responsive college portal prototype</w:t>
      </w:r>
    </w:p>
    <w:p>
      <w:r>
        <w:br w:type="page"/>
      </w:r>
    </w:p>
    <w:p>
      <w:pPr>
        <w:pStyle w:val="Heading1"/>
      </w:pPr>
      <w:r>
        <w:t>Document guide</w:t>
      </w:r>
    </w:p>
    <w:p>
      <w:pPr>
        <w:pStyle w:val="ListNumber"/>
      </w:pPr>
      <w:r>
        <w:t>1. Product overview</w:t>
      </w:r>
    </w:p>
    <w:p>
      <w:pPr>
        <w:pStyle w:val="ListNumber"/>
      </w:pPr>
      <w:r>
        <w:t>2. Goals and scope</w:t>
      </w:r>
    </w:p>
    <w:p>
      <w:pPr>
        <w:pStyle w:val="ListNumber"/>
      </w:pPr>
      <w:r>
        <w:t>3. Information architecture</w:t>
      </w:r>
    </w:p>
    <w:p>
      <w:pPr>
        <w:pStyle w:val="ListNumber"/>
      </w:pPr>
      <w:r>
        <w:t>4. Roles and permissions</w:t>
      </w:r>
    </w:p>
    <w:p>
      <w:pPr>
        <w:pStyle w:val="ListNumber"/>
      </w:pPr>
      <w:r>
        <w:t>5. Key screens and behavior</w:t>
      </w:r>
    </w:p>
    <w:p>
      <w:pPr>
        <w:pStyle w:val="ListNumber"/>
      </w:pPr>
      <w:r>
        <w:t>6. Visual design system</w:t>
      </w:r>
    </w:p>
    <w:p>
      <w:pPr>
        <w:pStyle w:val="ListNumber"/>
      </w:pPr>
      <w:r>
        <w:t>7. Responsive behavior</w:t>
      </w:r>
    </w:p>
    <w:p>
      <w:pPr>
        <w:pStyle w:val="ListNumber"/>
      </w:pPr>
      <w:r>
        <w:t>8. Alerts, empty states, and feedback</w:t>
      </w:r>
    </w:p>
    <w:p>
      <w:pPr>
        <w:pStyle w:val="ListNumber"/>
      </w:pPr>
      <w:r>
        <w:t>9. Accessibility and usability</w:t>
      </w:r>
    </w:p>
    <w:p>
      <w:pPr>
        <w:pStyle w:val="ListNumber"/>
      </w:pPr>
      <w:r>
        <w:t>10. Core user flows</w:t>
      </w:r>
    </w:p>
    <w:p>
      <w:pPr>
        <w:pStyle w:val="ListNumber"/>
      </w:pPr>
      <w:r>
        <w:t>11. Data model and integration notes</w:t>
      </w:r>
    </w:p>
    <w:p>
      <w:pPr>
        <w:pStyle w:val="ListNumber"/>
      </w:pPr>
      <w:r>
        <w:t>12. Acceptance criteria</w:t>
      </w:r>
    </w:p>
    <w:p>
      <w:pPr>
        <w:pStyle w:val="ListNumber"/>
      </w:pPr>
      <w:r>
        <w:t>13. Recommended next steps</w:t>
      </w:r>
    </w:p>
    <w:p/>
    <w:p>
      <w:r>
        <w:t>Reference basis: user-supplied college portal screenshots. This document describes the proposed product design and prototype behavior; it does not represent an official university specification.</w:t>
      </w:r>
    </w:p>
    <w:p>
      <w:pPr>
        <w:pStyle w:val="Heading1"/>
      </w:pPr>
      <w:r>
        <w:t>1. Product overview</w:t>
      </w:r>
    </w:p>
    <w:p>
      <w:pPr>
        <w:pStyle w:val="Heading2"/>
      </w:pPr>
      <w:r>
        <w:t>Purpose</w:t>
      </w:r>
    </w:p>
    <w:p>
      <w:r>
        <w:t>TIMEWISE is a responsive college portal concept for bringing academic schedules, student services, appointments, examination notices, and role-specific workspaces into one coherent experience.</w:t>
      </w:r>
    </w:p>
    <w:p>
      <w:pPr>
        <w:pStyle w:val="Heading2"/>
      </w:pPr>
      <w:r>
        <w:t>Design direction</w:t>
      </w:r>
    </w:p>
    <w:p>
      <w:r>
        <w:t>The interface follows the supplied Kristu Jayanti University portal screenshots: a white canvas, blue academic accents, understated gray text, clear breadcrumb navigation, restrained borders, rounded cards, and familiar portal navigation.</w:t>
      </w:r>
    </w:p>
    <w:p>
      <w:pPr>
        <w:pStyle w:val="Heading2"/>
      </w:pPr>
      <w:r>
        <w:t>Design principle</w:t>
      </w:r>
    </w:p>
    <w:p>
      <w:r>
        <w:t>Keep the recognizable structure of a traditional university portal while improving readability, mobile usability, information hierarchy, and visibility of time-sensitive actions.</w:t>
      </w:r>
    </w:p>
    <w:p>
      <w:pPr>
        <w:pStyle w:val="Heading1"/>
      </w:pPr>
      <w:r>
        <w:t>2. Goals and scope</w:t>
      </w:r>
    </w:p>
    <w:p>
      <w:pPr>
        <w:pStyle w:val="Heading2"/>
      </w:pPr>
      <w:r>
        <w:t>Primary goals</w:t>
      </w:r>
    </w:p>
    <w:p>
      <w:r>
        <w:t>Make the next class and upcoming academic actions easy to find; centralize alerts; support timetable planning; provide distinct dashboards for different college roles; and work well on phones, tablets, and desktops.</w:t>
      </w:r>
    </w:p>
    <w:p>
      <w:pPr>
        <w:pStyle w:val="Heading2"/>
      </w:pPr>
      <w:r>
        <w:t>Prototype scope</w:t>
      </w:r>
    </w:p>
    <w:p>
      <w:r>
        <w:t>Front-end demonstration with sample data and client-side interactions. It is not connected to the university’s live systems.</w:t>
      </w:r>
    </w:p>
    <w:p>
      <w:pPr>
        <w:pStyle w:val="Heading2"/>
      </w:pPr>
      <w:r>
        <w:t>Out of scope for this prototype</w:t>
      </w:r>
    </w:p>
    <w:p>
      <w:r>
        <w:t>Production authentication, server-side authorization, real student records, institutional single sign-on, live timetable synchronization, push notifications, and official examination or payment transactions.</w:t>
      </w:r>
    </w:p>
    <w:p>
      <w:pPr>
        <w:pStyle w:val="Heading1"/>
      </w:pPr>
      <w:r>
        <w:t>3. Information architecture</w:t>
      </w:r>
    </w:p>
    <w:p>
      <w:pPr>
        <w:pStyle w:val="Heading2"/>
      </w:pPr>
      <w:r>
        <w:t>Global shell</w:t>
      </w:r>
    </w:p>
    <w:p>
      <w:r>
        <w:t>Header with TIMEWISE mark, page title or breadcrumbs, alert access, and profile menu; responsive primary navigation; main content area; optional mobile bottom navigation.</w:t>
      </w:r>
    </w:p>
    <w:p>
      <w:pPr>
        <w:pStyle w:val="Heading2"/>
      </w:pPr>
      <w:r>
        <w:t>Primary navigation</w:t>
      </w:r>
    </w:p>
    <w:p>
      <w:r>
        <w:t>Dashboard; Academics; Timetable; Hall Tickets; Appointments; Mentor Meeting; Programmes; Fees; Alerts; Profile/Settings.</w:t>
      </w:r>
    </w:p>
    <w:p>
      <w:pPr>
        <w:pStyle w:val="Heading2"/>
      </w:pPr>
      <w:r>
        <w:t>Navigation behavior</w:t>
      </w:r>
    </w:p>
    <w:p>
      <w:r>
        <w:t>On desktop, use a persistent sidebar. On small screens, use a slide-out menu or compact bottom navigation. Keep the current section visibly selected and retain breadcrumb context on deeper pages.</w:t>
      </w:r>
    </w:p>
    <w:p>
      <w:pPr>
        <w:pStyle w:val="Heading1"/>
      </w:pPr>
      <w:r>
        <w:t>4. Roles and permissions</w:t>
      </w:r>
    </w:p>
    <w:p>
      <w:pPr>
        <w:pStyle w:val="Heading2"/>
      </w:pPr>
      <w:r>
        <w:t>Student</w:t>
      </w:r>
    </w:p>
    <w:p>
      <w:r>
        <w:t>Can view their own timetable, attendance, hall-ticket status, alerts, programmes, fees, and appointments; can create personal study blocks and request/reschedule eligible appointments.</w:t>
      </w:r>
    </w:p>
    <w:p>
      <w:pPr>
        <w:pStyle w:val="Heading2"/>
      </w:pPr>
      <w:r>
        <w:t>Faculty</w:t>
      </w:r>
    </w:p>
    <w:p>
      <w:r>
        <w:t>Can view assigned teaching schedule and relevant class information; manage permitted class-level notices and appointment availability; access only students and records authorized by institutional policy.</w:t>
      </w:r>
    </w:p>
    <w:p>
      <w:pPr>
        <w:pStyle w:val="Heading2"/>
      </w:pPr>
      <w:r>
        <w:t>Mentor</w:t>
      </w:r>
    </w:p>
    <w:p>
      <w:r>
        <w:t>Can view assigned mentees, meeting schedules, mentor-book information, and permitted academic progress summaries; record meeting notes only where policy allows.</w:t>
      </w:r>
    </w:p>
    <w:p>
      <w:pPr>
        <w:pStyle w:val="Heading2"/>
      </w:pPr>
      <w:r>
        <w:t>Administrator</w:t>
      </w:r>
    </w:p>
    <w:p>
      <w:r>
        <w:t>Can manage configuration, role assignments, timetable publication, programme/event information, institution-wide alerts, and administrative reports according to delegated permissions.</w:t>
      </w:r>
    </w:p>
    <w:p>
      <w:pPr>
        <w:pStyle w:val="Heading2"/>
      </w:pPr>
      <w:r>
        <w:t>Security rule</w:t>
      </w:r>
    </w:p>
    <w:p>
      <w:r>
        <w:t>Role-based visibility in the interface is not a security boundary. Every protected action and data request must also be authorized on the server. Apply least privilege and audit sensitive administrative actions.</w:t>
      </w:r>
    </w:p>
    <w:p>
      <w:pPr>
        <w:pStyle w:val="Heading1"/>
      </w:pPr>
      <w:r>
        <w:t>5. Key screens and behavior</w:t>
      </w:r>
    </w:p>
    <w:p>
      <w:pPr>
        <w:pStyle w:val="Heading2"/>
      </w:pPr>
      <w:r>
        <w:t>Dashboard</w:t>
      </w:r>
    </w:p>
    <w:p>
      <w:r>
        <w:t>Greeting and date; role-specific summary cards; next scheduled activity; recent alerts; upcoming appointments; quick actions. Use compact metrics and avoid overwhelming users with too many cards.</w:t>
      </w:r>
    </w:p>
    <w:p>
      <w:pPr>
        <w:pStyle w:val="Heading2"/>
      </w:pPr>
      <w:r>
        <w:t>Timetable planner</w:t>
      </w:r>
    </w:p>
    <w:p>
      <w:r>
        <w:t>Week/day navigation, date selector, schedule rows with subject/activity, time, room or location, and status. Allow users to add personal study blocks in the demo. Production conflicts must be validated before saving.</w:t>
      </w:r>
    </w:p>
    <w:p>
      <w:pPr>
        <w:pStyle w:val="Heading2"/>
      </w:pPr>
      <w:r>
        <w:t>Alerts</w:t>
      </w:r>
    </w:p>
    <w:p>
      <w:r>
        <w:t>Show severity, source, date/time, and a concise action. Use blue for general information, amber for attention, and red for urgent or blocking states. Allow read/unread state and filtering.</w:t>
      </w:r>
    </w:p>
    <w:p>
      <w:pPr>
        <w:pStyle w:val="Heading2"/>
      </w:pPr>
      <w:r>
        <w:t>Hall tickets</w:t>
      </w:r>
    </w:p>
    <w:p>
      <w:r>
        <w:t>Search by examination or batch; show examination name, course/semester, issue date, and status such as Available, Pending, or On Hold. A real system must obtain statuses from the authoritative academic source.</w:t>
      </w:r>
    </w:p>
    <w:p>
      <w:pPr>
        <w:pStyle w:val="Heading2"/>
      </w:pPr>
      <w:r>
        <w:t>Appointments</w:t>
      </w:r>
    </w:p>
    <w:p>
      <w:r>
        <w:t>Separate available events from the user’s appointments. Show date, time, host, location or meeting link, and booking state. Confirm reschedule/cancel actions before committing.</w:t>
      </w:r>
    </w:p>
    <w:p>
      <w:pPr>
        <w:pStyle w:val="Heading2"/>
      </w:pPr>
      <w:r>
        <w:t>Mentor meeting</w:t>
      </w:r>
    </w:p>
    <w:p>
      <w:r>
        <w:t>Tabs for personal details and academic records, with clear empty states and an explicit action to add permitted information.</w:t>
      </w:r>
    </w:p>
    <w:p>
      <w:pPr>
        <w:pStyle w:val="Heading2"/>
      </w:pPr>
      <w:r>
        <w:t>Profile</w:t>
      </w:r>
    </w:p>
    <w:p>
      <w:r>
        <w:t>Show account identity and settings entry points. Sign-out and password-change flows should require appropriate confirmation and secure identity-provider handling.</w:t>
      </w:r>
    </w:p>
    <w:p>
      <w:pPr>
        <w:pStyle w:val="Heading1"/>
      </w:pPr>
      <w:r>
        <w:t>6. Visual design system</w:t>
      </w:r>
    </w:p>
    <w:p>
      <w:pPr>
        <w:pStyle w:val="Heading2"/>
      </w:pPr>
      <w:r>
        <w:t>Color palette</w:t>
      </w:r>
    </w:p>
    <w:p>
      <w:r>
        <w:t>Primary blue #1261A0; deep navy #17324D; pale blue #EAF3FB; page background #F7F9FC; card surface #FFFFFF; main text #1F2937; secondary text #697586; border #E2E7EE; success #16805D; warning #A96500; danger #B42332.</w:t>
      </w:r>
    </w:p>
    <w:p>
      <w:pPr>
        <w:pStyle w:val="Heading2"/>
      </w:pPr>
      <w:r>
        <w:t>Typography</w:t>
      </w:r>
    </w:p>
    <w:p>
      <w:r>
        <w:t>Use a legible system sans-serif stack. Suggested hierarchy: page title 24–28 px desktop / 21–24 px mobile; section title 18–20 px; card title 15–17 px; body 14–16 px; helper text 12–14 px. Maintain comfortable line height.</w:t>
      </w:r>
    </w:p>
    <w:p>
      <w:pPr>
        <w:pStyle w:val="Heading2"/>
      </w:pPr>
      <w:r>
        <w:t>Spacing</w:t>
      </w:r>
    </w:p>
    <w:p>
      <w:r>
        <w:t>Use a 4 px base scale: 4, 8, 12, 16, 24, 32, 40, 48 px. Prefer consistent 16–24 px card padding and 16 px gaps between stacked mobile cards.</w:t>
      </w:r>
    </w:p>
    <w:p>
      <w:pPr>
        <w:pStyle w:val="Heading2"/>
      </w:pPr>
      <w:r>
        <w:t>Shape and elevation</w:t>
      </w:r>
    </w:p>
    <w:p>
      <w:r>
        <w:t>Cards use 12–18 px corner radius, subtle 1 px borders, and very light shadows only when needed. Buttons and fields use 10–14 px radii. Avoid heavy gradients and excessive shadows.</w:t>
      </w:r>
    </w:p>
    <w:p>
      <w:pPr>
        <w:pStyle w:val="Heading2"/>
      </w:pPr>
      <w:r>
        <w:t>Controls</w:t>
      </w:r>
    </w:p>
    <w:p>
      <w:r>
        <w:t>Primary action: solid blue with white text. Secondary action: pale blue/white with blue or navy text. Destructive action: red and visually distinct. Focus states must be visible and not rely on color alone.</w:t>
      </w:r>
    </w:p>
    <w:p>
      <w:pPr>
        <w:pStyle w:val="Heading1"/>
      </w:pPr>
      <w:r>
        <w:t>7. Responsive behavior</w:t>
      </w:r>
    </w:p>
    <w:p>
      <w:pPr>
        <w:pStyle w:val="Heading2"/>
      </w:pPr>
      <w:r>
        <w:t>Mobile: under 640 px</w:t>
      </w:r>
    </w:p>
    <w:p>
      <w:r>
        <w:t>Single-column content; compact header; navigation drawer or bottom nav; full-width buttons where useful; timetable rows become stacked cards; filters wrap or move into a panel.</w:t>
      </w:r>
    </w:p>
    <w:p>
      <w:pPr>
        <w:pStyle w:val="Heading2"/>
      </w:pPr>
      <w:r>
        <w:t>Tablet: 640–1023 px</w:t>
      </w:r>
    </w:p>
    <w:p>
      <w:r>
        <w:t>Use a collapsible sidebar or drawer; allow two-column summary cards; keep timetable readable without horizontal overflow.</w:t>
      </w:r>
    </w:p>
    <w:p>
      <w:pPr>
        <w:pStyle w:val="Heading2"/>
      </w:pPr>
      <w:r>
        <w:t>Desktop: 1024 px and above</w:t>
      </w:r>
    </w:p>
    <w:p>
      <w:r>
        <w:t>Persistent sidebar, broad main content, two-to-four-column metric cards depending on available width, and a wider timetable view.</w:t>
      </w:r>
    </w:p>
    <w:p>
      <w:pPr>
        <w:pStyle w:val="Heading2"/>
      </w:pPr>
      <w:r>
        <w:t>Interaction targets</w:t>
      </w:r>
    </w:p>
    <w:p>
      <w:r>
        <w:t>Aim for at least 44 × 44 px touch targets. Avoid hover-only functionality; provide keyboard and touch equivalents.</w:t>
      </w:r>
    </w:p>
    <w:p>
      <w:pPr>
        <w:pStyle w:val="Heading1"/>
      </w:pPr>
      <w:r>
        <w:t>8. Alerts, empty states, and feedback</w:t>
      </w:r>
    </w:p>
    <w:p>
      <w:pPr>
        <w:pStyle w:val="Heading2"/>
      </w:pPr>
      <w:r>
        <w:t>Alert hierarchy</w:t>
      </w:r>
    </w:p>
    <w:p>
      <w:r>
        <w:t>Urgent: requires immediate action; Warning: status may block a task; Informational: a useful update; Success: a completed action. Pair color with text and an icon or label.</w:t>
      </w:r>
    </w:p>
    <w:p>
      <w:pPr>
        <w:pStyle w:val="Heading2"/>
      </w:pPr>
      <w:r>
        <w:t>Empty states</w:t>
      </w:r>
    </w:p>
    <w:p>
      <w:r>
        <w:t>Explain what is missing in plain language, then offer a relevant next step where possible. Example: “No timetable found for this date” with a date-change action.</w:t>
      </w:r>
    </w:p>
    <w:p>
      <w:pPr>
        <w:pStyle w:val="Heading2"/>
      </w:pPr>
      <w:r>
        <w:t>Feedback</w:t>
      </w:r>
    </w:p>
    <w:p>
      <w:r>
        <w:t>Use inline validation for forms, visible loading states for remote requests, confirmation before destructive actions, and success/error messages after operations. Do not imply a save succeeded until the server confirms it.</w:t>
      </w:r>
    </w:p>
    <w:p>
      <w:pPr>
        <w:pStyle w:val="Heading1"/>
      </w:pPr>
      <w:r>
        <w:t>9. Accessibility and usability</w:t>
      </w:r>
    </w:p>
    <w:p>
      <w:pPr>
        <w:pStyle w:val="Heading2"/>
      </w:pPr>
      <w:r>
        <w:t>Accessibility baseline</w:t>
      </w:r>
    </w:p>
    <w:p>
      <w:r>
        <w:t>Target WCAG 2.2 AA. Ensure text contrast, semantic headings, form labels, keyboard navigation, visible focus, screen-reader names, reduced-motion support, and error messages that identify the field and correction.</w:t>
      </w:r>
    </w:p>
    <w:p>
      <w:pPr>
        <w:pStyle w:val="Heading2"/>
      </w:pPr>
      <w:r>
        <w:t>Content design</w:t>
      </w:r>
    </w:p>
    <w:p>
      <w:r>
        <w:t>Use short labels, sentence case, consistent terms (“Timetable” rather than mixing “Time Table” and “Schedule”), localized date/time formatting, and clear status words.</w:t>
      </w:r>
    </w:p>
    <w:p>
      <w:pPr>
        <w:pStyle w:val="Heading2"/>
      </w:pPr>
      <w:r>
        <w:t>Privacy</w:t>
      </w:r>
    </w:p>
    <w:p>
      <w:r>
        <w:t>Avoid exposing sensitive student data in notifications or on shared screens. Minimize displayed personal details and use role-appropriate access.</w:t>
      </w:r>
    </w:p>
    <w:p>
      <w:pPr>
        <w:pStyle w:val="Heading1"/>
      </w:pPr>
      <w:r>
        <w:t>10. Core user flows</w:t>
      </w:r>
    </w:p>
    <w:p>
      <w:pPr>
        <w:pStyle w:val="Heading2"/>
      </w:pPr>
      <w:r>
        <w:t>View today’s timetable</w:t>
      </w:r>
    </w:p>
    <w:p>
      <w:r>
        <w:t>Sign in → Dashboard → Today’s classes → Select class for details.</w:t>
      </w:r>
    </w:p>
    <w:p>
      <w:pPr>
        <w:pStyle w:val="Heading2"/>
      </w:pPr>
      <w:r>
        <w:t>Create a study block</w:t>
      </w:r>
    </w:p>
    <w:p>
      <w:r>
        <w:t>Timetable → Add study block → Enter title/date/time → Validate overlap → Save → Show confirmation.</w:t>
      </w:r>
    </w:p>
    <w:p>
      <w:pPr>
        <w:pStyle w:val="Heading2"/>
      </w:pPr>
      <w:r>
        <w:t>Review an exam alert</w:t>
      </w:r>
    </w:p>
    <w:p>
      <w:r>
        <w:t>Alerts → Open examination notice → Review hall-ticket status → Follow available next action.</w:t>
      </w:r>
    </w:p>
    <w:p>
      <w:pPr>
        <w:pStyle w:val="Heading2"/>
      </w:pPr>
      <w:r>
        <w:t>Book an appointment</w:t>
      </w:r>
    </w:p>
    <w:p>
      <w:r>
        <w:t>Appointments → Available events → Select slot → Confirm details → Book → Display booking status.</w:t>
      </w:r>
    </w:p>
    <w:p>
      <w:pPr>
        <w:pStyle w:val="Heading2"/>
      </w:pPr>
      <w:r>
        <w:t>Role switch for prototype</w:t>
      </w:r>
    </w:p>
    <w:p>
      <w:r>
        <w:t>Use the demo role selector to preview different dashboards. In production, role membership must come from trusted identity and authorization services.</w:t>
      </w:r>
    </w:p>
    <w:p>
      <w:pPr>
        <w:pStyle w:val="Heading1"/>
      </w:pPr>
      <w:r>
        <w:t>11. Data model and integration notes</w:t>
      </w:r>
    </w:p>
    <w:p>
      <w:pPr>
        <w:pStyle w:val="Heading2"/>
      </w:pPr>
      <w:r>
        <w:t>Suggested entities</w:t>
      </w:r>
    </w:p>
    <w:p>
      <w:r>
        <w:t>User; Role; Course/Programme; ClassSession; TimetableEntry; PersonalStudyBlock; Alert; Examination; HallTicketStatus; AppointmentSlot; AppointmentBooking; MentorAssignment; AuditEvent.</w:t>
      </w:r>
    </w:p>
    <w:p>
      <w:pPr>
        <w:pStyle w:val="Heading2"/>
      </w:pPr>
      <w:r>
        <w:t>Integration points</w:t>
      </w:r>
    </w:p>
    <w:p>
      <w:r>
        <w:t>Identity provider/SSO; student information system; learning management system if applicable; timetable service; notification service; appointment service; finance/fees system. Define the system of record for each data type before integration.</w:t>
      </w:r>
    </w:p>
    <w:p>
      <w:pPr>
        <w:pStyle w:val="Heading2"/>
      </w:pPr>
      <w:r>
        <w:t>Reliability</w:t>
      </w:r>
    </w:p>
    <w:p>
      <w:r>
        <w:t>Store timestamps with time-zone context; handle stale data and network failures; prevent duplicate bookings; validate overlapping events; log administrative changes; and expose clear retry paths.</w:t>
      </w:r>
    </w:p>
    <w:p>
      <w:pPr>
        <w:pStyle w:val="Heading1"/>
      </w:pPr>
      <w:r>
        <w:t>12. Acceptance criteria</w:t>
      </w:r>
    </w:p>
    <w:p>
      <w:pPr>
        <w:pStyle w:val="Heading2"/>
      </w:pPr>
      <w:r>
        <w:t>Responsive layout</w:t>
      </w:r>
    </w:p>
    <w:p>
      <w:r>
        <w:t>No essential content requires horizontal scrolling at 360 px viewport width; all navigation remains usable on touch devices.</w:t>
      </w:r>
    </w:p>
    <w:p>
      <w:pPr>
        <w:pStyle w:val="Heading2"/>
      </w:pPr>
      <w:r>
        <w:t>Role access</w:t>
      </w:r>
    </w:p>
    <w:p>
      <w:r>
        <w:t>Each role sees only its intended navigation and actions; server APIs enforce the same permissions independently of the UI.</w:t>
      </w:r>
    </w:p>
    <w:p>
      <w:pPr>
        <w:pStyle w:val="Heading2"/>
      </w:pPr>
      <w:r>
        <w:t>Timetable</w:t>
      </w:r>
    </w:p>
    <w:p>
      <w:r>
        <w:t>Users can navigate dates, inspect schedule items, and create/edit/delete personal blocks in the demo; production saves are validated server-side.</w:t>
      </w:r>
    </w:p>
    <w:p>
      <w:pPr>
        <w:pStyle w:val="Heading2"/>
      </w:pPr>
      <w:r>
        <w:t>Alerts</w:t>
      </w:r>
    </w:p>
    <w:p>
      <w:r>
        <w:t>Users can identify severity and date, open alert details, and update read state where supported.</w:t>
      </w:r>
    </w:p>
    <w:p>
      <w:pPr>
        <w:pStyle w:val="Heading2"/>
      </w:pPr>
      <w:r>
        <w:t>Accessibility</w:t>
      </w:r>
    </w:p>
    <w:p>
      <w:r>
        <w:t>All core flows can be completed by keyboard; controls have accessible names; status is not conveyed by color alone.</w:t>
      </w:r>
    </w:p>
    <w:p>
      <w:pPr>
        <w:pStyle w:val="Heading2"/>
      </w:pPr>
      <w:r>
        <w:t>Prototype disclosure</w:t>
      </w:r>
    </w:p>
    <w:p>
      <w:r>
        <w:t>Sample data and demo-only interactions are clearly distinguished from live institutional records.</w:t>
      </w:r>
    </w:p>
    <w:p>
      <w:pPr>
        <w:pStyle w:val="Heading1"/>
      </w:pPr>
      <w:r>
        <w:t>13. Recommended next steps</w:t>
      </w:r>
    </w:p>
    <w:p>
      <w:pPr>
        <w:pStyle w:val="Heading2"/>
      </w:pPr>
      <w:r>
        <w:t>Before development</w:t>
      </w:r>
    </w:p>
    <w:p>
      <w:r>
        <w:t>Confirm the official logo and brand rules; validate role definitions with college stakeholders; approve data fields and status vocabulary; define integrations and privacy retention rules.</w:t>
      </w:r>
    </w:p>
    <w:p>
      <w:pPr>
        <w:pStyle w:val="Heading2"/>
      </w:pPr>
      <w:r>
        <w:t>For engineering handoff</w:t>
      </w:r>
    </w:p>
    <w:p>
      <w:r>
        <w:t>Convert key screens into Figma frames and component variants; document API contracts; implement server-side authorization; add automated responsive/accessibility tests; and test with students, faculty, mentors, and administrators.</w:t>
      </w:r>
    </w:p>
    <w:p>
      <w:pPr>
        <w:pStyle w:val="Heading1"/>
      </w:pPr>
      <w:r>
        <w:t>Appendix A — Design token quick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Token</w:t>
            </w:r>
          </w:p>
        </w:tc>
        <w:tc>
          <w:tcPr>
            <w:tcW w:type="dxa" w:w="3312"/>
          </w:tcPr>
          <w:p>
            <w:r>
              <w:t>Value</w:t>
            </w:r>
          </w:p>
        </w:tc>
        <w:tc>
          <w:tcPr>
            <w:tcW w:type="dxa" w:w="3312"/>
          </w:tcPr>
          <w:p>
            <w:r>
              <w:t>Usage</w:t>
            </w:r>
          </w:p>
        </w:tc>
      </w:tr>
      <w:tr>
        <w:tc>
          <w:tcPr>
            <w:tcW w:type="dxa" w:w="3312"/>
          </w:tcPr>
          <w:p>
            <w:r>
              <w:t>Primary blue</w:t>
            </w:r>
          </w:p>
        </w:tc>
        <w:tc>
          <w:tcPr>
            <w:tcW w:type="dxa" w:w="3312"/>
          </w:tcPr>
          <w:p>
            <w:r>
              <w:t>#1261A0</w:t>
            </w:r>
          </w:p>
        </w:tc>
        <w:tc>
          <w:tcPr>
            <w:tcW w:type="dxa" w:w="3312"/>
          </w:tcPr>
          <w:p>
            <w:r>
              <w:t>Primary actions, active navigation, links</w:t>
            </w:r>
          </w:p>
        </w:tc>
      </w:tr>
      <w:tr>
        <w:tc>
          <w:tcPr>
            <w:tcW w:type="dxa" w:w="3312"/>
          </w:tcPr>
          <w:p>
            <w:r>
              <w:t>Deep navy</w:t>
            </w:r>
          </w:p>
        </w:tc>
        <w:tc>
          <w:tcPr>
            <w:tcW w:type="dxa" w:w="3312"/>
          </w:tcPr>
          <w:p>
            <w:r>
              <w:t>#17324D</w:t>
            </w:r>
          </w:p>
        </w:tc>
        <w:tc>
          <w:tcPr>
            <w:tcW w:type="dxa" w:w="3312"/>
          </w:tcPr>
          <w:p>
            <w:r>
              <w:t>Headings, emphasis</w:t>
            </w:r>
          </w:p>
        </w:tc>
      </w:tr>
      <w:tr>
        <w:tc>
          <w:tcPr>
            <w:tcW w:type="dxa" w:w="3312"/>
          </w:tcPr>
          <w:p>
            <w:r>
              <w:t>Pale blue</w:t>
            </w:r>
          </w:p>
        </w:tc>
        <w:tc>
          <w:tcPr>
            <w:tcW w:type="dxa" w:w="3312"/>
          </w:tcPr>
          <w:p>
            <w:r>
              <w:t>#EAF3FB</w:t>
            </w:r>
          </w:p>
        </w:tc>
        <w:tc>
          <w:tcPr>
            <w:tcW w:type="dxa" w:w="3312"/>
          </w:tcPr>
          <w:p>
            <w:r>
              <w:t>Selected surfaces, icon backgrounds</w:t>
            </w:r>
          </w:p>
        </w:tc>
      </w:tr>
      <w:tr>
        <w:tc>
          <w:tcPr>
            <w:tcW w:type="dxa" w:w="3312"/>
          </w:tcPr>
          <w:p>
            <w:r>
              <w:t>Page background</w:t>
            </w:r>
          </w:p>
        </w:tc>
        <w:tc>
          <w:tcPr>
            <w:tcW w:type="dxa" w:w="3312"/>
          </w:tcPr>
          <w:p>
            <w:r>
              <w:t>#F7F9FC</w:t>
            </w:r>
          </w:p>
        </w:tc>
        <w:tc>
          <w:tcPr>
            <w:tcW w:type="dxa" w:w="3312"/>
          </w:tcPr>
          <w:p>
            <w:r>
              <w:t>Main canvas</w:t>
            </w:r>
          </w:p>
        </w:tc>
      </w:tr>
      <w:tr>
        <w:tc>
          <w:tcPr>
            <w:tcW w:type="dxa" w:w="3312"/>
          </w:tcPr>
          <w:p>
            <w:r>
              <w:t>Card surface</w:t>
            </w:r>
          </w:p>
        </w:tc>
        <w:tc>
          <w:tcPr>
            <w:tcW w:type="dxa" w:w="3312"/>
          </w:tcPr>
          <w:p>
            <w:r>
              <w:t>#FFFFFF</w:t>
            </w:r>
          </w:p>
        </w:tc>
        <w:tc>
          <w:tcPr>
            <w:tcW w:type="dxa" w:w="3312"/>
          </w:tcPr>
          <w:p>
            <w:r>
              <w:t>Cards and panels</w:t>
            </w:r>
          </w:p>
        </w:tc>
      </w:tr>
      <w:tr>
        <w:tc>
          <w:tcPr>
            <w:tcW w:type="dxa" w:w="3312"/>
          </w:tcPr>
          <w:p>
            <w:r>
              <w:t>Main text</w:t>
            </w:r>
          </w:p>
        </w:tc>
        <w:tc>
          <w:tcPr>
            <w:tcW w:type="dxa" w:w="3312"/>
          </w:tcPr>
          <w:p>
            <w:r>
              <w:t>#1F2937</w:t>
            </w:r>
          </w:p>
        </w:tc>
        <w:tc>
          <w:tcPr>
            <w:tcW w:type="dxa" w:w="3312"/>
          </w:tcPr>
          <w:p>
            <w:r>
              <w:t>Primary body text</w:t>
            </w:r>
          </w:p>
        </w:tc>
      </w:tr>
      <w:tr>
        <w:tc>
          <w:tcPr>
            <w:tcW w:type="dxa" w:w="3312"/>
          </w:tcPr>
          <w:p>
            <w:r>
              <w:t>Secondary text</w:t>
            </w:r>
          </w:p>
        </w:tc>
        <w:tc>
          <w:tcPr>
            <w:tcW w:type="dxa" w:w="3312"/>
          </w:tcPr>
          <w:p>
            <w:r>
              <w:t>#697586</w:t>
            </w:r>
          </w:p>
        </w:tc>
        <w:tc>
          <w:tcPr>
            <w:tcW w:type="dxa" w:w="3312"/>
          </w:tcPr>
          <w:p>
            <w:r>
              <w:t>Metadata and helper text</w:t>
            </w:r>
          </w:p>
        </w:tc>
      </w:tr>
      <w:tr>
        <w:tc>
          <w:tcPr>
            <w:tcW w:type="dxa" w:w="3312"/>
          </w:tcPr>
          <w:p>
            <w:r>
              <w:t>Border</w:t>
            </w:r>
          </w:p>
        </w:tc>
        <w:tc>
          <w:tcPr>
            <w:tcW w:type="dxa" w:w="3312"/>
          </w:tcPr>
          <w:p>
            <w:r>
              <w:t>#E2E7EE</w:t>
            </w:r>
          </w:p>
        </w:tc>
        <w:tc>
          <w:tcPr>
            <w:tcW w:type="dxa" w:w="3312"/>
          </w:tcPr>
          <w:p>
            <w:r>
              <w:t>Card and input outlines</w:t>
            </w:r>
          </w:p>
        </w:tc>
      </w:tr>
      <w:tr>
        <w:tc>
          <w:tcPr>
            <w:tcW w:type="dxa" w:w="3312"/>
          </w:tcPr>
          <w:p>
            <w:r>
              <w:t>Success</w:t>
            </w:r>
          </w:p>
        </w:tc>
        <w:tc>
          <w:tcPr>
            <w:tcW w:type="dxa" w:w="3312"/>
          </w:tcPr>
          <w:p>
            <w:r>
              <w:t>#16805D</w:t>
            </w:r>
          </w:p>
        </w:tc>
        <w:tc>
          <w:tcPr>
            <w:tcW w:type="dxa" w:w="3312"/>
          </w:tcPr>
          <w:p>
            <w:r>
              <w:t>Positive status</w:t>
            </w:r>
          </w:p>
        </w:tc>
      </w:tr>
      <w:tr>
        <w:tc>
          <w:tcPr>
            <w:tcW w:type="dxa" w:w="3312"/>
          </w:tcPr>
          <w:p>
            <w:r>
              <w:t>Warning</w:t>
            </w:r>
          </w:p>
        </w:tc>
        <w:tc>
          <w:tcPr>
            <w:tcW w:type="dxa" w:w="3312"/>
          </w:tcPr>
          <w:p>
            <w:r>
              <w:t>#A96500</w:t>
            </w:r>
          </w:p>
        </w:tc>
        <w:tc>
          <w:tcPr>
            <w:tcW w:type="dxa" w:w="3312"/>
          </w:tcPr>
          <w:p>
            <w:r>
              <w:t>Attention status</w:t>
            </w:r>
          </w:p>
        </w:tc>
      </w:tr>
      <w:tr>
        <w:tc>
          <w:tcPr>
            <w:tcW w:type="dxa" w:w="3312"/>
          </w:tcPr>
          <w:p>
            <w:r>
              <w:t>Danger</w:t>
            </w:r>
          </w:p>
        </w:tc>
        <w:tc>
          <w:tcPr>
            <w:tcW w:type="dxa" w:w="3312"/>
          </w:tcPr>
          <w:p>
            <w:r>
              <w:t>#B42332</w:t>
            </w:r>
          </w:p>
        </w:tc>
        <w:tc>
          <w:tcPr>
            <w:tcW w:type="dxa" w:w="3312"/>
          </w:tcPr>
          <w:p>
            <w:r>
              <w:t>Blocking/destructive status</w:t>
            </w:r>
          </w:p>
        </w:tc>
      </w:tr>
    </w:tbl>
    <w:p>
      <w:pPr>
        <w:pStyle w:val="Heading1"/>
      </w:pPr>
      <w:r>
        <w:t>Appendix B — Prototype disclaimer</w:t>
      </w:r>
    </w:p>
    <w:p>
      <w:r>
        <w:t>The HTML prototype is intended for design review and usability discussion. Any role switcher, sample records, booking state, alert state, or timetable edit performed only in the browser is a demonstration and must not be treated as a secure or authoritative academic record.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61A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61A0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