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Chauffeur-Driven Car Agreement</w:t>
      </w:r>
    </w:p>
    <w:p>
      <w:pPr>
        <w:jc w:val="center"/>
      </w:pPr>
      <w:r>
        <w:rPr>
          <w:i/>
          <w:sz w:val="18"/>
        </w:rPr>
        <w:t>CC-LEASE-074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Chauffeur-Driven Car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