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Logistics Vehicle Rental Agreement</w:t>
      </w:r>
    </w:p>
    <w:p>
      <w:pPr>
        <w:jc w:val="center"/>
      </w:pPr>
      <w:r>
        <w:rPr>
          <w:i/>
          <w:sz w:val="18"/>
        </w:rPr>
        <w:t>CC-LEASE-079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Vehicle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