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Coworking Space Agreement</w:t>
      </w:r>
    </w:p>
    <w:p>
      <w:pPr>
        <w:jc w:val="center"/>
      </w:pPr>
      <w:r>
        <w:rPr>
          <w:i/>
          <w:sz w:val="18"/>
        </w:rPr>
        <w:t>CC-LEASE-026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Coworking Space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