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Business Premises Leave and Licence Agreement</w:t>
      </w:r>
    </w:p>
    <w:p>
      <w:pPr>
        <w:jc w:val="center"/>
      </w:pPr>
      <w:r>
        <w:rPr>
          <w:i/>
          <w:sz w:val="18"/>
        </w:rPr>
        <w:t>CC-LEASE-033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Premises Leave and Licence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