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Move-In Checklist</w:t>
      </w:r>
    </w:p>
    <w:p>
      <w:pPr>
        <w:jc w:val="center"/>
      </w:pPr>
      <w:r>
        <w:rPr>
          <w:i/>
          <w:sz w:val="18"/>
        </w:rPr>
        <w:t>CC-LEASE-159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Move-In Checklist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