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Final Settlement Statement</w:t>
      </w:r>
    </w:p>
    <w:p>
      <w:pPr>
        <w:jc w:val="center"/>
      </w:pPr>
      <w:r>
        <w:rPr>
          <w:i/>
          <w:sz w:val="18"/>
        </w:rPr>
        <w:t>CC-LEASE-163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Settlement Statement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