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Change of Tenant Agreement</w:t>
      </w:r>
    </w:p>
    <w:p>
      <w:pPr>
        <w:jc w:val="center"/>
      </w:pPr>
      <w:r>
        <w:rPr>
          <w:i/>
          <w:sz w:val="18"/>
        </w:rPr>
        <w:t>CC-LEASE-060  |  Eviction, renewals &amp; lease changes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of Tenant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