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Possession Handover Agreement</w:t>
      </w:r>
    </w:p>
    <w:p>
      <w:pPr>
        <w:jc w:val="center"/>
      </w:pPr>
      <w:r>
        <w:rPr>
          <w:i/>
          <w:sz w:val="18"/>
        </w:rPr>
        <w:t>CC-LEASE-064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Possession Handover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