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Leave and Licence Agreement</w:t>
      </w:r>
    </w:p>
    <w:p>
      <w:pPr>
        <w:jc w:val="center"/>
      </w:pPr>
      <w:r>
        <w:rPr>
          <w:i/>
          <w:sz w:val="18"/>
        </w:rPr>
        <w:t>CC-LEASE-176  |  Indian legal &amp; tenancy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 and Licence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