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Unregistered Lease Draft (where legally permissible)</w:t>
      </w:r>
    </w:p>
    <w:p>
      <w:pPr>
        <w:jc w:val="center"/>
      </w:pPr>
      <w:r>
        <w:rPr>
          <w:i/>
          <w:sz w:val="18"/>
        </w:rPr>
        <w:t>CC-LEASE-178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Unregistered Lease Draft (where legally permissible)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