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Notice of Rent Default</w:t>
      </w:r>
    </w:p>
    <w:p>
      <w:pPr>
        <w:jc w:val="center"/>
      </w:pPr>
      <w:r>
        <w:rPr>
          <w:i/>
          <w:sz w:val="18"/>
        </w:rPr>
        <w:t>CC-LEASE-181  |  Indian legal &amp; tenancy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Rent Default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