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Notice for Recovery of Possession</w:t>
      </w:r>
    </w:p>
    <w:p>
      <w:pPr>
        <w:jc w:val="center"/>
      </w:pPr>
      <w:r>
        <w:rPr>
          <w:i/>
          <w:sz w:val="18"/>
        </w:rPr>
        <w:t>CC-LEASE-183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for Recovery of Possession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