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Land Development Lease Agreement</w:t>
      </w:r>
    </w:p>
    <w:p>
      <w:pPr>
        <w:jc w:val="center"/>
      </w:pPr>
      <w:r>
        <w:rPr>
          <w:i/>
          <w:sz w:val="18"/>
        </w:rPr>
        <w:t>CC-LEASE-046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 Development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