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Water Resource Usage Agreement</w:t>
      </w:r>
    </w:p>
    <w:p>
      <w:pPr>
        <w:jc w:val="center"/>
      </w:pPr>
      <w:r>
        <w:rPr>
          <w:i/>
          <w:sz w:val="18"/>
        </w:rPr>
        <w:t>CC-LEASE-049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Resource Usage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