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Furnished House Rental Agreement</w:t>
      </w:r>
    </w:p>
    <w:p>
      <w:pPr>
        <w:jc w:val="center"/>
      </w:pPr>
      <w:r>
        <w:rPr>
          <w:i/>
          <w:sz w:val="18"/>
        </w:rPr>
        <w:t>CC-LEASE-006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Furnished House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