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Semi-Furnished Property Rental Agreement</w:t>
      </w:r>
    </w:p>
    <w:p>
      <w:pPr>
        <w:jc w:val="center"/>
      </w:pPr>
      <w:r>
        <w:rPr>
          <w:i/>
          <w:sz w:val="18"/>
        </w:rPr>
        <w:t>CC-LEASE-008  |  Residential leases &amp; vacation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Semi-Furnished Property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