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Senior Citizen Residential Rental Agreement</w:t>
      </w:r>
    </w:p>
    <w:p>
      <w:pPr>
        <w:jc w:val="center"/>
      </w:pPr>
      <w:r>
        <w:rPr>
          <w:i/>
          <w:sz w:val="18"/>
        </w:rPr>
        <w:t>CC-LEASE-017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Citizen Residential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