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Educational Institution Premises Lease</w:t>
      </w:r>
    </w:p>
    <w:p>
      <w:pPr>
        <w:jc w:val="center"/>
      </w:pPr>
      <w:r>
        <w:rPr>
          <w:i/>
          <w:sz w:val="18"/>
        </w:rPr>
        <w:t>CC-LEASE-165  |  Special-purpose Indian rental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Educational Institution Premises Lease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