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LIMITED / SPECIAL POWER OF ATTORNEY</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Authorise an agent to perform a specifically described task or transaction, with narrow powers and a defined end point.</w:t>
      </w:r>
    </w:p>
    <w:p>
      <w:r>
        <w:t>The Principal appoints the Agent only for the following expressly selected and completed powers:</w:t>
      </w:r>
    </w:p>
    <w:p>
      <w:pPr>
        <w:pStyle w:val="ListBullet"/>
      </w:pPr>
      <w:r>
        <w:t>☐ Perform only the transaction(s) described in Schedule A.</w:t>
      </w:r>
    </w:p>
    <w:p>
      <w:pPr>
        <w:pStyle w:val="ListBullet"/>
      </w:pPr>
      <w:r>
        <w:t>☐ Submit and collect documents and make procedural representations expressly listed in Schedule A.</w:t>
      </w:r>
    </w:p>
    <w:p>
      <w:pPr>
        <w:pStyle w:val="ListBullet"/>
      </w:pPr>
      <w:r>
        <w:t>☐ Sign forms or acknowledgements only where the receiving authority accepts an attorney and the law permits it.</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No implied general authority.</w:t>
      </w:r>
    </w:p>
    <w:p>
      <w:pPr>
        <w:pStyle w:val="ListBullet"/>
      </w:pPr>
      <w:r>
        <w:t>☐ No delegation/substitution unless expressly authorised and legally permitted.</w:t>
      </w:r>
    </w:p>
    <w:p>
      <w:pPr>
        <w:pStyle w:val="ListBullet"/>
      </w:pPr>
      <w:r>
        <w:t>☐ No borrowing, gifting, settlement, sale, encumbrance, receipt of sale proceeds or compromise unless expressly and specifically stated.</w:t>
      </w:r>
    </w:p>
    <w:p>
      <w:pPr>
        <w:pStyle w:val="ListBullet"/>
      </w:pPr>
      <w:r>
        <w:t>☐ No authority beyond the stated transaction, amount, asset, counterparty, place or period.</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task/transaction, counterparties, asset/property identifiers, permitted acts, monetary cap, documents, deadlines and exclusions.</w:t>
      </w:r>
    </w:p>
    <w:p>
      <w:r>
        <w:t>____________________________________________________________________________</w:t>
      </w:r>
    </w:p>
    <w:p>
      <w:r>
        <w:t>____________________________________________________________________________</w:t>
      </w:r>
    </w:p>
    <w:p>
      <w:r>
        <w:t>Schedule B: documents delivered to agent and accounting/return obligations.</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Indian Contract Act, 1872 principles of agency; Power-of-Attorney Act, 1882; Registration Act, 1908 and applicable state amendments/rules where relevant.</w:t>
      </w:r>
    </w:p>
    <w:p>
      <w:pPr>
        <w:pStyle w:val="ListBullet"/>
      </w:pPr>
      <w:r>
        <w:t>• Check Tamil Nadu stamp duty/adjudication and whether registration or authentication is required for the intended use.</w:t>
      </w:r>
    </w:p>
    <w:p>
      <w:r>
        <w:t>Advocate review flag: Advocate review is especially important where the authority concerns immovable property, execution of a registrable instrument, litigation, consideration, or third-party institutional acceptance.</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Advocate review is especially important where the authority concerns immovable property, execution of a registrable instrument, litigation, consideration, or third-party institutional acceptance.</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