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GENERAL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Set out broader agency authority across specified personal, administrative, financial or property matters, while keeping each grant explicit.</w:t>
      </w:r>
    </w:p>
    <w:p>
      <w:r>
        <w:t>The Principal appoints the Agent only for the following expressly selected and completed powers:</w:t>
      </w:r>
    </w:p>
    <w:p>
      <w:pPr>
        <w:pStyle w:val="ListBullet"/>
      </w:pPr>
      <w:r>
        <w:t>☐ Represent principal before listed public bodies and service providers, subject to their rules and applicable law.</w:t>
      </w:r>
    </w:p>
    <w:p>
      <w:pPr>
        <w:pStyle w:val="ListBullet"/>
      </w:pPr>
      <w:r>
        <w:t>☐ Sign and submit applications, receive correspondence, pay listed bills and collect documents.</w:t>
      </w:r>
    </w:p>
    <w:p>
      <w:pPr>
        <w:pStyle w:val="ListBullet"/>
      </w:pPr>
      <w:r>
        <w:t>☐ Manage listed assets and contracts only to the extent itemised in Schedule A.</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Do not use a blanket grant as a substitute for listing sensitive powers.</w:t>
      </w:r>
    </w:p>
    <w:p>
      <w:pPr>
        <w:pStyle w:val="ListBullet"/>
      </w:pPr>
      <w:r>
        <w:t>☐ No sale, gift, mortgage, borrowing, guarantee, litigation settlement, withdrawal of major investments or delegation unless separately and clearly authorised.</w:t>
      </w:r>
    </w:p>
    <w:p>
      <w:pPr>
        <w:pStyle w:val="ListBullet"/>
      </w:pPr>
      <w:r>
        <w:t>☐ No authority to make a will, exercise inherently personal rights, or do anything prohibited by law.</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powers by category with checkboxes and limits.</w:t>
      </w:r>
    </w:p>
    <w:p>
      <w:r>
        <w:t>____________________________________________________________________________</w:t>
      </w:r>
    </w:p>
    <w:p>
      <w:r>
        <w:t>____________________________________________________________________________</w:t>
      </w:r>
    </w:p>
    <w:p>
      <w:r>
        <w:t>Schedule B: assets/accounts/contracts covered and excluded.</w:t>
      </w:r>
    </w:p>
    <w:p>
      <w:r>
        <w:t>____________________________________________________________________________</w:t>
      </w:r>
    </w:p>
    <w:p>
      <w:r>
        <w:t>____________________________________________________________________________</w:t>
      </w:r>
    </w:p>
    <w:p>
      <w:r>
        <w:t>Schedule C: reporting, records, expense reimbursement and safeguards.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Agency under the Indian Contract Act, 1872; Power-of-Attorney Act, 1882; applicable registration and stamp laws.</w:t>
      </w:r>
    </w:p>
    <w:p>
      <w:pPr>
        <w:pStyle w:val="ListBullet"/>
      </w:pPr>
      <w:r>
        <w:t>• Certain acts require specific authority, prescribed forms, personal appearance, or institutional approval.</w:t>
      </w:r>
    </w:p>
    <w:p>
      <w:r>
        <w:t>Advocate review flag: Have an Indian advocate tailor each power; broad wording can create significant risk and may be rejected by institutions.</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Have an Indian advocate tailor each power; broad wording can create significant risk and may be rejected by institutions.</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