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PROPERTY POWER OF ATTORNEY</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Authorise specified management, leasing or sale-related acts for identified immovable property, subject to Indian property and registration law.</w:t>
      </w:r>
    </w:p>
    <w:p>
      <w:r>
        <w:t>The Principal appoints the Agent only for the following expressly selected and completed powers:</w:t>
      </w:r>
    </w:p>
    <w:p>
      <w:pPr>
        <w:pStyle w:val="ListBullet"/>
      </w:pPr>
      <w:r>
        <w:t>☐ Pay property tax and utility charges; arrange maintenance and repairs within a budget.</w:t>
      </w:r>
    </w:p>
    <w:p>
      <w:pPr>
        <w:pStyle w:val="ListBullet"/>
      </w:pPr>
      <w:r>
        <w:t>☐ Manage tenancy, issue notices, collect rent and execute lease documents only within stated limits and applicable law.</w:t>
      </w:r>
    </w:p>
    <w:p>
      <w:pPr>
        <w:pStyle w:val="ListBullet"/>
      </w:pPr>
      <w:r>
        <w:t>☐ For a proposed sale, obtain records, communicate with brokers/buyers, negotiate subject to approval, and execute specified documents only if legally permitted and specifically authorised.</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A POA is not itself a conveyance or transfer of ownership/title.</w:t>
      </w:r>
    </w:p>
    <w:p>
      <w:pPr>
        <w:pStyle w:val="ListBullet"/>
      </w:pPr>
      <w:r>
        <w:t>☐ Do not represent that a POA alone transfers title or cures title defects.</w:t>
      </w:r>
    </w:p>
    <w:p>
      <w:pPr>
        <w:pStyle w:val="ListBullet"/>
      </w:pPr>
      <w:r>
        <w:t>☐ Sale deed execution, presentation, registration, authentication, stamp duty and personal appearance rules must be checked for the exact facts.</w:t>
      </w:r>
    </w:p>
    <w:p>
      <w:pPr>
        <w:pStyle w:val="ListBullet"/>
      </w:pPr>
      <w:r>
        <w:t>☐ Identify property by full schedule: survey/door number, extent, boundaries, village/taluk/district, patta/title references and undivided share where relevant.</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complete property description and title/encumbrance details.</w:t>
      </w:r>
    </w:p>
    <w:p>
      <w:r>
        <w:t>____________________________________________________________________________</w:t>
      </w:r>
    </w:p>
    <w:p>
      <w:r>
        <w:t>____________________________________________________________________________</w:t>
      </w:r>
    </w:p>
    <w:p>
      <w:r>
        <w:t>Schedule B: permitted management/lease/sale-related acts, reserve price, consideration handling and buyer restrictions.</w:t>
      </w:r>
    </w:p>
    <w:p>
      <w:r>
        <w:t>____________________________________________________________________________</w:t>
      </w:r>
    </w:p>
    <w:p>
      <w:r>
        <w:t>____________________________________________________________________________</w:t>
      </w:r>
    </w:p>
    <w:p>
      <w:r>
        <w:t>Schedule C: documents to be delivered, accounts and proceeds handling.</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Transfer of Property Act, 1882; Registration Act, 1908 and Tamil Nadu amendments/rules; Power-of-Attorney Act, 1882; current Tamil Nadu stamp law and rules.</w:t>
      </w:r>
    </w:p>
    <w:p>
      <w:pPr>
        <w:pStyle w:val="ListBullet"/>
      </w:pPr>
      <w:r>
        <w:t>• Check applicable Supreme Court/High Court authority on POAs and property transfers and current Sub-Registrar practice.</w:t>
      </w:r>
    </w:p>
    <w:p>
      <w:r>
        <w:t>Advocate review flag: Mandatory advocate review before any sale, conveyance, lease of significant duration, mortgage, development agreement, or registration presentation.</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Mandatory advocate review before any sale, conveyance, lease of significant duration, mortgage, development agreement, or registration presentation.</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