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MEDICAL INFORMATION ACCESS AND HEALTHCARE AUTHORISATION</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Record contacts, information-sharing permissions and the principal's stated preferences for healthcare interactions, without assuming a US-style healthcare proxy is automatically recognised.</w:t>
      </w:r>
    </w:p>
    <w:p>
      <w:r>
        <w:t>The Principal appoints the Agent only for the following expressly selected and completed powers:</w:t>
      </w:r>
    </w:p>
    <w:p>
      <w:pPr>
        <w:pStyle w:val="ListBullet"/>
      </w:pPr>
      <w:r>
        <w:t>☐ Permit listed healthcare providers to disclose specified medical information to the named contact, to the extent permitted by Indian law and provider policy.</w:t>
      </w:r>
    </w:p>
    <w:p>
      <w:pPr>
        <w:pStyle w:val="ListBullet"/>
      </w:pPr>
      <w:r>
        <w:t>☐ Authorise the agent to communicate the principal's known wishes and coordinate appointments, records and emergency contacts.</w:t>
      </w:r>
    </w:p>
    <w:p>
      <w:pPr>
        <w:pStyle w:val="ListBullet"/>
      </w:pPr>
      <w:r>
        <w:t>☐ Record preferences and emergency information for care teams.</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Do not state that the agent has an unrestricted legal power to consent to or refuse all treatment.</w:t>
      </w:r>
    </w:p>
    <w:p>
      <w:pPr>
        <w:pStyle w:val="ListBullet"/>
      </w:pPr>
      <w:r>
        <w:t>☐ Clinical consent, capacity, emergency treatment, advance directives/living wills and surrogate decision-making are governed by applicable Indian law and judicial directions; provider protocols may apply.</w:t>
      </w:r>
    </w:p>
    <w:p>
      <w:pPr>
        <w:pStyle w:val="ListBullet"/>
      </w:pPr>
      <w:r>
        <w:t>☐ This form is not a HIPAA release and HIPAA does not govern merely because this form mentions health information.</w:t>
      </w:r>
    </w:p>
    <w:p>
      <w:pPr>
        <w:pStyle w:val="ListBullet"/>
      </w:pPr>
      <w:r>
        <w:t>☐ Do not override the patient's own competent decision or statutory/professional duties.</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permitted information categories, recipients, purpose and duration.</w:t>
      </w:r>
    </w:p>
    <w:p>
      <w:r>
        <w:t>____________________________________________________________________________</w:t>
      </w:r>
    </w:p>
    <w:p>
      <w:r>
        <w:t>____________________________________________________________________________</w:t>
      </w:r>
    </w:p>
    <w:p>
      <w:r>
        <w:t>Schedule B: emergency contacts, treating clinicians, allergies/medications voluntarily supplied and communication preferences.</w:t>
      </w:r>
    </w:p>
    <w:p>
      <w:r>
        <w:t>____________________________________________________________________________</w:t>
      </w:r>
    </w:p>
    <w:p>
      <w:r>
        <w:t>____________________________________________________________________________</w:t>
      </w:r>
    </w:p>
    <w:p>
      <w:r>
        <w:t>Schedule C: stated wishes, with clear note that any advance directive must satisfy applicable Indian requirements separately.</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Applicable Indian medical ethics, patient-consent and privacy law, current Supreme Court directions on advance medical directives, and relevant state/provider protocols.</w:t>
      </w:r>
    </w:p>
    <w:p>
      <w:pPr>
        <w:pStyle w:val="ListBullet"/>
      </w:pPr>
      <w:r>
        <w:t>• Obtain provider confirmation and legal review for end-of-life instructions or advance directives.</w:t>
      </w:r>
    </w:p>
    <w:p>
      <w:r>
        <w:t>Advocate review flag: Mandatory specialist legal/medical review for incapacity, end-of-life, refusal of treatment or advance directive provisions.</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Mandatory specialist legal/medical review for incapacity, end-of-life, refusal of treatment or advance directive provisions.</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