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VEHICLE AND BUSINESS POWER OF ATTORNEY</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Authorise specified vehicle-related transactions and/or defined business administration, separating each authority and identifying relevant assets/entities.</w:t>
      </w:r>
    </w:p>
    <w:p>
      <w:r>
        <w:t>The Principal appoints the Agent only for the following expressly selected and completed powers:</w:t>
      </w:r>
    </w:p>
    <w:p>
      <w:pPr>
        <w:pStyle w:val="ListBullet"/>
      </w:pPr>
      <w:r>
        <w:t>☐ Submit vehicle registration/transfer/permit/insurance paperwork and collect documents where accepted by the transport authority.</w:t>
      </w:r>
    </w:p>
    <w:p>
      <w:pPr>
        <w:pStyle w:val="ListBullet"/>
      </w:pPr>
      <w:r>
        <w:t>☐ Represent the principal before named customers, vendors, utilities or government offices for listed business matters.</w:t>
      </w:r>
    </w:p>
    <w:p>
      <w:pPr>
        <w:pStyle w:val="ListBullet"/>
      </w:pPr>
      <w:r>
        <w:t>☐ Sign specified routine contracts and invoices within stated value limits.</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Vehicle transfer, registration, permit, tax and insurance processes require prescribed forms and authority-specific compliance; POA does not replace them.</w:t>
      </w:r>
    </w:p>
    <w:p>
      <w:pPr>
        <w:pStyle w:val="ListBullet"/>
      </w:pPr>
      <w:r>
        <w:t>☐ Business authority does not override company constitutional documents, board/shareholder approvals, partnership deed, LLP agreement, licences or statutory signatory rules.</w:t>
      </w:r>
    </w:p>
    <w:p>
      <w:pPr>
        <w:pStyle w:val="ListBullet"/>
      </w:pPr>
      <w:r>
        <w:t>☐ No borrowing, guarantees, sale of business, disposal of major assets, litigation settlement, employment termination or bank mandate changes unless separately authorised.</w:t>
      </w:r>
    </w:p>
    <w:p>
      <w:pPr>
        <w:pStyle w:val="ListBullet"/>
      </w:pPr>
      <w:r>
        <w:t>☐ Identify vehicle registration/VIN and business legal entity/registration details.</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vehicle identifiers and permitted RTO/insurance actions.</w:t>
      </w:r>
    </w:p>
    <w:p>
      <w:r>
        <w:t>____________________________________________________________________________</w:t>
      </w:r>
    </w:p>
    <w:p>
      <w:r>
        <w:t>____________________________________________________________________________</w:t>
      </w:r>
    </w:p>
    <w:p>
      <w:r>
        <w:t>Schedule B: business entity, role, counterparties, transaction cap and permitted signatures.</w:t>
      </w:r>
    </w:p>
    <w:p>
      <w:r>
        <w:t>____________________________________________________________________________</w:t>
      </w:r>
    </w:p>
    <w:p>
      <w:r>
        <w:t>____________________________________________________________________________</w:t>
      </w:r>
    </w:p>
    <w:p>
      <w:r>
        <w:t>Schedule C: records, reporting and document-return obligations.</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Motor Vehicles Act, 1988 and Central/State Motor Vehicles Rules; applicable company/partnership/LLP law, contracts and departmental procedures.</w:t>
      </w:r>
    </w:p>
    <w:p>
      <w:pPr>
        <w:pStyle w:val="ListBullet"/>
      </w:pPr>
      <w:r>
        <w:t>• Confirm Tamil Nadu RTO, insurer, licensing and entity-specific forms.</w:t>
      </w:r>
    </w:p>
    <w:p>
      <w:r>
        <w:t>Advocate review flag: Advocate/company-secretary/tax-professional review for entity execution, asset sale, regulated activities or high-value commitments.</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Advocate/company-secretary/tax-professional review for entity execution, asset sale, regulated activities or high-value commitments.</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