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Consultant Confidentiality and Non-Disclosure Agreement</w:t>
      </w:r>
    </w:p>
    <w:p>
      <w:pPr>
        <w:jc w:val="center"/>
      </w:pPr>
      <w:r>
        <w:rPr>
          <w:i/>
        </w:rPr>
        <w:t>TN-NDA-004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provide the consulting services described in the applicable statement of work.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Client</w:t>
              <w:br/>
              <w:t>Legal name: [●]</w:t>
              <w:br/>
              <w:t>Entity type / constitution: [●]</w:t>
              <w:br/>
              <w:t>Registered / residential address: [●]</w:t>
              <w:br/>
              <w:t>Authorised signatory: [●]</w:t>
              <w:br/>
              <w:t>Email for notices: [●]</w:t>
            </w:r>
          </w:p>
        </w:tc>
        <w:tc>
          <w:tcPr>
            <w:tcW w:type="dxa" w:w="4968"/>
            <w:shd w:fill="EAF2F8"/>
            <w:vAlign w:val="top"/>
          </w:tcPr>
          <w:p>
            <w:r>
              <w:t>Consultant</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provide the consulting services described in the applicable statement of work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Consultant access and permitted personnel</w:t>
      </w:r>
    </w:p>
    <w:p>
      <w:r>
        <w:t>The Consultant may access only the systems, premises, records and data identified in Schedule 2 and only to the extent necessary for the Purpose. The Consultant shall not appoint subcontractors or transfer access without prior written approval and equivalent written confidentiality commitments.</w:t>
      </w:r>
    </w:p>
    <w:p>
      <w:pPr>
        <w:pStyle w:val="Heading1"/>
      </w:pPr>
      <w:r>
        <w:t>Template-specific clause — Pre-existing materials and deliverables</w:t>
      </w:r>
    </w:p>
    <w:p>
      <w:r>
        <w:t>This NDA does not determine ownership of deliverables, inventions, software, reports or other work product. Any ownership, licence, assignment, moral-rights, open-source, third-party material and consideration provisions must be set out in a separate services/IP agreement and reviewed under applicable intellectual-property law.</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Client</w:t>
            </w:r>
          </w:p>
        </w:tc>
        <w:tc>
          <w:tcPr>
            <w:tcW w:type="dxa" w:w="4968"/>
            <w:shd w:fill="D9EAF7"/>
          </w:tcPr>
          <w:p>
            <w:r>
              <w:t>Consultant</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Consultant Confidentiality and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