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CLAUSECITE</w:t>
      </w:r>
    </w:p>
    <w:p>
      <w:pPr>
        <w:pStyle w:val="Title"/>
        <w:jc w:val="center"/>
      </w:pPr>
      <w:r>
        <w:t>M&amp;A Due Diligence Non-Disclosure Agreement</w:t>
      </w:r>
    </w:p>
    <w:p>
      <w:pPr>
        <w:jc w:val="center"/>
      </w:pPr>
      <w:r>
        <w:rPr>
          <w:i/>
        </w:rPr>
        <w:t>TN-NDA-008  |  Version 1.0.0  |  India — Tamil Nadu</w:t>
      </w:r>
    </w:p>
    <w:p>
      <w:pPr>
        <w:jc w:val="center"/>
      </w:pPr>
      <w:r>
        <w:rPr>
          <w:b/>
          <w:color w:val="C00000"/>
          <w:sz w:val="18"/>
        </w:rPr>
        <w:t>DRAFTING TEMPLATE — NOT LEGALLY REVIEWED OR EXECUTION-READY</w:t>
      </w:r>
    </w:p>
    <w:p>
      <w:pPr>
        <w:pStyle w:val="Heading1"/>
      </w:pPr>
      <w:r>
        <w:t>Drafting instructions</w:t>
      </w:r>
    </w:p>
    <w:p>
      <w:r>
        <w:t>Complete all [●] fields and schedules. Delete unused options only after legal review. Select one dispute-resolution route and confirm the forum, seat and appointment process. Do not assume that this template is duly stamped or that signing electronically is appropriate for every transaction.</w:t>
      </w:r>
    </w:p>
    <w:p>
      <w:r>
        <w:t>Template-specific purpose: evaluate, negotiate and, if agreed, implement the proposed transaction described in Schedule 1. Replace this with a precise, transaction-specific Purpose before disclosure.</w:t>
      </w:r>
    </w:p>
    <w:p>
      <w:pPr>
        <w:pStyle w:val="Heading1"/>
      </w:pPr>
      <w:r>
        <w:t>1. Date, parties and background</w:t>
      </w:r>
    </w:p>
    <w:p>
      <w:r>
        <w:t>This Agreement is made on [Effective Date] at [Place of execution].</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top"/>
          </w:tcPr>
          <w:p>
            <w:r>
              <w:t>Target / Seller</w:t>
              <w:br/>
              <w:t>Legal name: [●]</w:t>
              <w:br/>
              <w:t>Entity type / constitution: [●]</w:t>
              <w:br/>
              <w:t>Registered / residential address: [●]</w:t>
              <w:br/>
              <w:t>Authorised signatory: [●]</w:t>
              <w:br/>
              <w:t>Email for notices: [●]</w:t>
            </w:r>
          </w:p>
        </w:tc>
        <w:tc>
          <w:tcPr>
            <w:tcW w:type="dxa" w:w="4968"/>
            <w:shd w:fill="EAF2F8"/>
            <w:vAlign w:val="top"/>
          </w:tcPr>
          <w:p>
            <w:r>
              <w:t>Potential Acquirer / Investor</w:t>
              <w:br/>
              <w:t>Legal name: [●]</w:t>
              <w:br/>
              <w:t>Entity type / constitution: [●]</w:t>
              <w:br/>
              <w:t>Registered / residential address: [●]</w:t>
              <w:br/>
              <w:t>Authorised signatory: [●]</w:t>
              <w:br/>
              <w:t>Email for notices: [●]</w:t>
            </w:r>
          </w:p>
        </w:tc>
      </w:tr>
    </w:tbl>
    <w:p>
      <w:r>
        <w:t>The parties wish to disclose and receive certain information for the limited Purpose set out in Schedule 1 and agree to protect that information on the terms below.</w:t>
      </w:r>
    </w:p>
    <w:p>
      <w:pPr>
        <w:pStyle w:val="Heading1"/>
      </w:pPr>
      <w:r>
        <w:t>2. Definitions and interpretation</w:t>
      </w:r>
    </w:p>
    <w:p>
      <w:r>
        <w:t>“Confidential Information” means information disclosed or made available, directly or indirectly, by or on behalf of a Disclosing Party to a Receiving Party, its Representatives or permitted recipients, whether before, on or after the Effective Date and whether in oral, visual, written, electronic, machine-readable, sample, demonstration or other form, that is marked confidential or that reasonably should be understood to be confidential from its nature or the circumstances of disclosure. It includes the categories and examples listed in Schedule 1, together with copies, extracts, notes, analyses, compilations and materials derived from it, to the extent they contain or reflect such information. The parties may identify particularly sensitive items in Schedule 1.</w:t>
      </w:r>
    </w:p>
    <w:p>
      <w:pPr>
        <w:pStyle w:val="Heading1"/>
      </w:pPr>
      <w:r>
        <w:t>3. Permitted Purpose and use limitation</w:t>
      </w:r>
    </w:p>
    <w:p>
      <w:r>
        <w:t>The Receiving Party shall use Confidential Information solely to evaluate, negotiate, perform or administer the following expressly defined purpose: evaluate, negotiate and, if agreed, implement the proposed transaction described in Schedule 1 (“Purpose”). It shall not use Confidential Information for any competing, commercial, personal, research, benchmarking, reverse-engineering, model-training or other purpose unless that use is expressly authorised in writing by the Disclosing Party and is lawful. No licence or other right is granted except the limited right to use the information for the Purpose.</w:t>
      </w:r>
    </w:p>
    <w:p>
      <w:pPr>
        <w:pStyle w:val="Heading1"/>
      </w:pPr>
      <w:r>
        <w:t>4. Exclusions from Confidential Information</w:t>
      </w:r>
    </w:p>
    <w:p>
      <w:r>
        <w:t>Confidential Information does not include information that the Receiving Party can demonstrate through contemporaneous written records: (a) is or becomes publicly available other than through breach of this Agreement or a duty owed to the Disclosing Party; (b) was lawfully known to it without restriction before disclosure; (c) is received lawfully from a third party without breach of a confidentiality obligation; or (d) is independently developed without use of or reference to Confidential Information. A combination of information is not excluded merely because individual elements are public or known; the combination itself must qualify for an exclusion. The burden of establishing an exclusion rests on the party relying on it.</w:t>
      </w:r>
    </w:p>
    <w:p>
      <w:pPr>
        <w:pStyle w:val="Heading1"/>
      </w:pPr>
      <w:r>
        <w:t>5. Core confidentiality and security obligations</w:t>
      </w:r>
    </w:p>
    <w:p>
      <w:r>
        <w:t>The Receiving Party shall: (a) protect Confidential Information using at least the same degree of care it uses for its own similar sensitive information and, in all cases, no less than reasonable care; (b) prevent unauthorised access, use, copying, alteration, loss or disclosure; (c) restrict access on a need-to-know basis to permitted Representatives bound by written or professional duties no less protective than this Agreement; (d) remain responsible for acts and omissions of its Representatives; (e) maintain appropriate administrative, technical and physical safeguards; (f) promptly notify the Disclosing Party of any actual or reasonably suspected unauthorised access, use, loss or disclosure; and (g) reasonably cooperate to contain, investigate and remediate the incident.</w:t>
      </w:r>
    </w:p>
    <w:p>
      <w:pPr>
        <w:pStyle w:val="Heading1"/>
      </w:pPr>
      <w:r>
        <w:t>6. Legally compelled disclosure</w:t>
      </w:r>
    </w:p>
    <w:p>
      <w:r>
        <w:t>If the Receiving Party or a Representative is required by applicable law, court order, regulator or competent governmental authority to disclose Confidential Information, it may disclose only the portion legally required, provided that (to the extent legally permitted) it gives prompt prior written notice, reasonably cooperates with efforts to seek confidential treatment or protective relief, and discloses only after taking reasonable steps to preserve confidentiality. No notice is required where prohibited by law or a binding direction.</w:t>
      </w:r>
    </w:p>
    <w:p>
      <w:pPr>
        <w:pStyle w:val="Heading1"/>
      </w:pPr>
      <w:r>
        <w:t>7. Permitted disclosure to Representatives</w:t>
      </w:r>
    </w:p>
    <w:p>
      <w:r>
        <w:t>Disclosure is permitted only to the Receiving Party’s directors, officers, employees, professional advisers, auditors, insurers, financing sources and contractors who have a genuine need to know for the Purpose (“Representatives”), provided they are informed of the confidential nature and are bound by enforceable confidentiality obligations or professional duties. The Receiving Party shall maintain an appropriate access list and shall not disclose to affiliates, subcontractors, cloud providers or other third parties unless permitted by Schedule 2 or approved in writing. The Receiving Party is responsible for their compliance.</w:t>
      </w:r>
    </w:p>
    <w:p>
      <w:pPr>
        <w:pStyle w:val="Heading1"/>
      </w:pPr>
      <w:r>
        <w:t>8. Term and survival</w:t>
      </w:r>
    </w:p>
    <w:p>
      <w:r>
        <w:t>This Agreement begins on the Effective Date and continues for [insert term] unless terminated earlier by written agreement or under its terms. The confidentiality and restricted-use obligations apply to each disclosure for [insert number] years from the date of disclosure, except that information qualifying as a trade secret shall remain protected for [select and specify]. The parties must select periods that are reasonable for the information, transaction and applicable law; no period should be inserted automatically without review.</w:t>
      </w:r>
    </w:p>
    <w:p>
      <w:pPr>
        <w:pStyle w:val="Heading1"/>
      </w:pPr>
      <w:r>
        <w:t>9. Termination</w:t>
      </w:r>
    </w:p>
    <w:p>
      <w:r>
        <w:t>Either party may terminate further disclosures and the ongoing evaluation relationship by giving [insert days] days’ written notice, or immediately by written notice if the other party commits a material breach that is incapable of remedy or, if capable of remedy, fails to remedy it within [insert days] days after receiving notice. Termination does not affect accrued rights, liabilities, or obligations that expressly or by their nature survive. Termination does not authorise use or disclosure of information already received.</w:t>
      </w:r>
    </w:p>
    <w:p>
      <w:pPr>
        <w:pStyle w:val="Heading1"/>
      </w:pPr>
      <w:r>
        <w:t>10. Return or deletion of Confidential Information</w:t>
      </w:r>
    </w:p>
    <w:p>
      <w:r>
        <w:t>Within [insert days] days after written request or termination, the Receiving Party shall, at the Disclosing Party’s election, return or securely delete/destroy Confidential Information and copies under its control, and certify completion through an authorised representative on request. The Receiving Party may retain one archival copy solely to the extent required by law, regulation, bona fide internal compliance or automatic back-up systems not reasonably accessible in the ordinary course, provided retained material remains protected, is not restored or used except for the permitted retention purpose, and is deleted under ordinary retention cycles. Legal holds and mandatory retention requirements prevail to the extent applicable.</w:t>
      </w:r>
    </w:p>
    <w:p>
      <w:pPr>
        <w:pStyle w:val="Heading1"/>
      </w:pPr>
      <w:r>
        <w:t>11. Remedies and limitation</w:t>
      </w:r>
    </w:p>
    <w:p>
      <w:r>
        <w:t>The parties acknowledge that unauthorised use or disclosure may cause harm for which monetary relief may not always be an adequate remedy. Subject to applicable law and the discretion of the competent court or tribunal, the Disclosing Party may seek interim, injunctive or other equitable relief in addition to remedies available at law. Any damages, indemnity, liquidated sum, liability cap or exclusion must be separately and expressly completed in Schedule 3 and reviewed for enforceability, including under sections 73 and 74 of the Indian Contract Act, 1872. Nothing in this Agreement guarantees that an injunction or a particular measure of damages will be granted.</w:t>
      </w:r>
    </w:p>
    <w:p>
      <w:pPr>
        <w:pStyle w:val="Heading1"/>
      </w:pPr>
      <w:r>
        <w:t>12. Governing law</w:t>
      </w:r>
    </w:p>
    <w:p>
      <w:r>
        <w:t>This Agreement and any non-contractual obligations arising from it shall be governed by the laws of India. Mandatory laws applicable in the State of Tamil Nadu shall apply where relevant to the parties, transaction, place of performance, stamping, execution or enforcement. The parties should obtain advice on any conflict-of-laws issue or cross-border disclosure.</w:t>
      </w:r>
    </w:p>
    <w:p>
      <w:pPr>
        <w:pStyle w:val="Heading1"/>
      </w:pPr>
      <w:r>
        <w:t>13. Dispute resolution and jurisdiction</w:t>
      </w:r>
    </w:p>
    <w:p>
      <w:r>
        <w:t>The parties shall first attempt in good faith to resolve a dispute through senior representatives within [insert days] days after written notice of dispute. If unresolved, the dispute shall be resolved by [select courts or arbitration]. If arbitration is selected, the arbitration agreement must be in writing and shall specify the seat, venue (if different), language, number and appointment mechanism of arbitrator(s), and interim-relief arrangements in Schedule 4; the Arbitration and Conciliation Act, 1996, as amended, shall apply. If court proceedings are selected, the parties shall specify a court having territorial and subject-matter jurisdiction; this clause does not confer jurisdiction on a court that otherwise lacks it. Nothing prevents a party from seeking urgent interim relief from a competent court.</w:t>
      </w:r>
    </w:p>
    <w:p>
      <w:pPr>
        <w:pStyle w:val="Heading1"/>
      </w:pPr>
      <w:r>
        <w:t>14. Notices</w:t>
      </w:r>
    </w:p>
    <w:p>
      <w:r>
        <w:t>Notices under this Agreement shall be in writing and delivered by hand, recognised courier or email to the addresses stated in the party details and Schedule 4. An email notice is effective only when receipt is acknowledged or otherwise evidenced in a manner agreed by the parties; automated delivery reports alone should not be treated as conclusive unless expressly agreed. Each party shall promptly notify changes to its notice details.</w:t>
      </w:r>
    </w:p>
    <w:p>
      <w:pPr>
        <w:pStyle w:val="Heading1"/>
      </w:pPr>
      <w:r>
        <w:t>15. No licence, no obligation to proceed</w:t>
      </w:r>
    </w:p>
    <w:p>
      <w:r>
        <w:t>All Confidential Information remains the property of the Disclosing Party or its relevant owner. No intellectual-property right, licence, assignment, option, partnership, agency, fiduciary relationship or obligation to enter into a further transaction is created by disclosure. Neither party is obliged to proceed with the Purpose or transaction. Information is provided without representation or warranty except as expressly agreed in a definitive written agreement; fraud or liability that cannot lawfully be excluded is not excluded.</w:t>
      </w:r>
    </w:p>
    <w:p>
      <w:pPr>
        <w:pStyle w:val="Heading1"/>
      </w:pPr>
      <w:r>
        <w:t>16. Entire agreement, amendments, severability and counterparts</w:t>
      </w:r>
    </w:p>
    <w:p>
      <w:r>
        <w:t>This Agreement constitutes the entire agreement on confidentiality for the Purpose and supersedes prior discussions on that subject, except any separate written agreement expressly preserved in Schedule 4. Any amendment or waiver must be in writing and signed by authorised representatives. If a provision is invalid or unenforceable, it shall be severed or read down to the minimum extent permitted without affecting the remainder. No failure or delay in exercising a right is a waiver. This Agreement may be executed in counterparts and by legally recognised electronic signature where permitted by applicable law; each counterpart forms one instrument.</w:t>
      </w:r>
    </w:p>
    <w:p>
      <w:pPr>
        <w:pStyle w:val="Heading1"/>
      </w:pPr>
      <w:r>
        <w:t>Template-specific clause — Clean team and competitively sensitive information</w:t>
      </w:r>
    </w:p>
    <w:p>
      <w:r>
        <w:t>Where the parties are actual or potential competitors, competitively sensitive information (including current or future prices, customer-specific terms, costs, output, capacity, bids, strategy, wages or market allocation) shall be disclosed only through a clean-team protocol approved by competition counsel. Clean-team members, permitted analyses, aggregation, access, onward reporting and post-review restrictions must be specified in Schedule 2.</w:t>
      </w:r>
    </w:p>
    <w:p>
      <w:pPr>
        <w:pStyle w:val="Heading1"/>
      </w:pPr>
      <w:r>
        <w:t>Template-specific clause — Transaction confidentiality and announcements</w:t>
      </w:r>
    </w:p>
    <w:p>
      <w:r>
        <w:t>Neither party shall disclose the existence, status, terms or identity of the proposed transaction or discussions, or make a public announcement, except with prior written consent or where disclosure is legally required subject to the compelled-disclosure process. The parties shall agree who may be contacted and which employees, customers, suppliers, lenders or regulators may be approached.</w:t>
      </w:r>
    </w:p>
    <w:p>
      <w:pPr>
        <w:pStyle w:val="Heading1"/>
      </w:pPr>
      <w:r>
        <w:t>Template-specific clause — Optional standstill / exclusivity</w:t>
      </w:r>
    </w:p>
    <w:p>
      <w:r>
        <w:t>Any standstill, no-contact, no-hire, exclusivity or no-shop restriction is optional and must be separately specified, time-limited, proportionate and reviewed for competition, company, securities and contract-law implications. Do not activate by default.</w:t>
      </w:r>
    </w:p>
    <w:p>
      <w:pPr>
        <w:pStyle w:val="Heading1"/>
      </w:pPr>
      <w:r>
        <w:t>Schedule S1 — Purpose, Information Categories and Disclosure Protocol</w:t>
      </w:r>
    </w:p>
    <w:p>
      <w:r>
        <w:rPr>
          <w:b/>
        </w:rPr>
        <w:t xml:space="preserve">Purpose Detail: </w:t>
      </w:r>
      <w:r>
        <w:t>[Complete by user / counsel]</w:t>
      </w:r>
    </w:p>
    <w:p>
      <w:r>
        <w:rPr>
          <w:b/>
        </w:rPr>
        <w:t xml:space="preserve">Information Categories: </w:t>
      </w:r>
      <w:r>
        <w:t>[Complete by user / counsel]</w:t>
      </w:r>
    </w:p>
    <w:p>
      <w:r>
        <w:rPr>
          <w:b/>
        </w:rPr>
        <w:t xml:space="preserve">Excluded Or Sensitive Items: </w:t>
      </w:r>
      <w:r>
        <w:t>[Complete by user / counsel]</w:t>
      </w:r>
    </w:p>
    <w:p>
      <w:r>
        <w:rPr>
          <w:b/>
        </w:rPr>
        <w:t xml:space="preserve">Disclosure Channels: </w:t>
      </w:r>
      <w:r>
        <w:t>[Complete by user / counsel]</w:t>
      </w:r>
    </w:p>
    <w:p>
      <w:r>
        <w:rPr>
          <w:b/>
        </w:rPr>
        <w:t xml:space="preserve">Marking Protocol: </w:t>
      </w:r>
      <w:r>
        <w:t>[Complete by user / counsel]</w:t>
      </w:r>
    </w:p>
    <w:p>
      <w:r>
        <w:rPr>
          <w:b/>
        </w:rPr>
        <w:t xml:space="preserve">Initial Disclosure Date: </w:t>
      </w:r>
      <w:r>
        <w:t>[Complete by user / counsel]</w:t>
      </w:r>
    </w:p>
    <w:p>
      <w:r>
        <w:t>Attach additional pages or exhibits if needed and identify each attachment by date and version.</w:t>
      </w:r>
    </w:p>
    <w:p>
      <w:pPr>
        <w:pStyle w:val="Heading1"/>
      </w:pPr>
      <w:r>
        <w:t>Schedule S2 — Permitted Representatives, Systems and Security Controls</w:t>
      </w:r>
    </w:p>
    <w:p>
      <w:r>
        <w:rPr>
          <w:b/>
        </w:rPr>
        <w:t xml:space="preserve">Permitted Representatives: </w:t>
      </w:r>
      <w:r>
        <w:t>[Complete by user / counsel]</w:t>
      </w:r>
    </w:p>
    <w:p>
      <w:r>
        <w:rPr>
          <w:b/>
        </w:rPr>
        <w:t xml:space="preserve">Approved Affiliates: </w:t>
      </w:r>
      <w:r>
        <w:t>[Complete by user / counsel]</w:t>
      </w:r>
    </w:p>
    <w:p>
      <w:r>
        <w:rPr>
          <w:b/>
        </w:rPr>
        <w:t xml:space="preserve">Approved Subprocessors: </w:t>
      </w:r>
      <w:r>
        <w:t>[Complete by user / counsel]</w:t>
      </w:r>
    </w:p>
    <w:p>
      <w:r>
        <w:rPr>
          <w:b/>
        </w:rPr>
        <w:t xml:space="preserve">Systems And Locations: </w:t>
      </w:r>
      <w:r>
        <w:t>[Complete by user / counsel]</w:t>
      </w:r>
    </w:p>
    <w:p>
      <w:r>
        <w:rPr>
          <w:b/>
        </w:rPr>
        <w:t xml:space="preserve">Security Controls: </w:t>
      </w:r>
      <w:r>
        <w:t>[Complete by user / counsel]</w:t>
      </w:r>
    </w:p>
    <w:p>
      <w:r>
        <w:rPr>
          <w:b/>
        </w:rPr>
        <w:t xml:space="preserve">Incident Notice Period Hours: </w:t>
      </w:r>
      <w:r>
        <w:t>[Complete by user / counsel]</w:t>
      </w:r>
    </w:p>
    <w:p>
      <w:r>
        <w:rPr>
          <w:b/>
        </w:rPr>
        <w:t xml:space="preserve">Clean Team Protocol If Applicable: </w:t>
      </w:r>
      <w:r>
        <w:t>[Complete by user / counsel]</w:t>
      </w:r>
    </w:p>
    <w:p>
      <w:r>
        <w:t>Attach additional pages or exhibits if needed and identify each attachment by date and version.</w:t>
      </w:r>
    </w:p>
    <w:p>
      <w:pPr>
        <w:pStyle w:val="Heading1"/>
      </w:pPr>
      <w:r>
        <w:t>Schedule S3 — Commercial and Risk Allocation Options</w:t>
      </w:r>
    </w:p>
    <w:p>
      <w:r>
        <w:rPr>
          <w:b/>
        </w:rPr>
        <w:t xml:space="preserve">Liability Cap: </w:t>
      </w:r>
      <w:r>
        <w:t>[Complete by user / counsel]</w:t>
      </w:r>
    </w:p>
    <w:p>
      <w:r>
        <w:rPr>
          <w:b/>
        </w:rPr>
        <w:t xml:space="preserve">Excluded Losses: </w:t>
      </w:r>
      <w:r>
        <w:t>[Complete by user / counsel]</w:t>
      </w:r>
    </w:p>
    <w:p>
      <w:r>
        <w:rPr>
          <w:b/>
        </w:rPr>
        <w:t xml:space="preserve">Indemnity Option: </w:t>
      </w:r>
      <w:r>
        <w:t>[Complete by user / counsel]</w:t>
      </w:r>
    </w:p>
    <w:p>
      <w:r>
        <w:rPr>
          <w:b/>
        </w:rPr>
        <w:t xml:space="preserve">Liquidated Damages Option: </w:t>
      </w:r>
      <w:r>
        <w:t>[Complete by user / counsel]</w:t>
      </w:r>
    </w:p>
    <w:p>
      <w:r>
        <w:rPr>
          <w:b/>
        </w:rPr>
        <w:t xml:space="preserve">Insurance Requirements: </w:t>
      </w:r>
      <w:r>
        <w:t>[Complete by user / counsel]</w:t>
      </w:r>
    </w:p>
    <w:p>
      <w:r>
        <w:rPr>
          <w:b/>
        </w:rPr>
        <w:t xml:space="preserve">Special Remedies: </w:t>
      </w:r>
      <w:r>
        <w:t>[Complete by user / counsel]</w:t>
      </w:r>
    </w:p>
    <w:p>
      <w:r>
        <w:t>Attach additional pages or exhibits if needed and identify each attachment by date and version.</w:t>
      </w:r>
    </w:p>
    <w:p>
      <w:pPr>
        <w:pStyle w:val="Heading1"/>
      </w:pPr>
      <w:r>
        <w:t>Schedule S4 — Notices, Term, Dispute Resolution and Execution Details</w:t>
      </w:r>
    </w:p>
    <w:p>
      <w:r>
        <w:rPr>
          <w:b/>
        </w:rPr>
        <w:t xml:space="preserve">Agreement Term: </w:t>
      </w:r>
      <w:r>
        <w:t>[Complete by user / counsel]</w:t>
      </w:r>
    </w:p>
    <w:p>
      <w:r>
        <w:rPr>
          <w:b/>
        </w:rPr>
        <w:t xml:space="preserve">Confidentiality Period Years: </w:t>
      </w:r>
      <w:r>
        <w:t>[Complete by user / counsel]</w:t>
      </w:r>
    </w:p>
    <w:p>
      <w:r>
        <w:rPr>
          <w:b/>
        </w:rPr>
        <w:t xml:space="preserve">Termination Notice Days: </w:t>
      </w:r>
      <w:r>
        <w:t>[Complete by user / counsel]</w:t>
      </w:r>
    </w:p>
    <w:p>
      <w:r>
        <w:rPr>
          <w:b/>
        </w:rPr>
        <w:t xml:space="preserve">Cure Period Days: </w:t>
      </w:r>
      <w:r>
        <w:t>[Complete by user / counsel]</w:t>
      </w:r>
    </w:p>
    <w:p>
      <w:r>
        <w:rPr>
          <w:b/>
        </w:rPr>
        <w:t xml:space="preserve">Return Delete Days: </w:t>
      </w:r>
      <w:r>
        <w:t>[Complete by user / counsel]</w:t>
      </w:r>
    </w:p>
    <w:p>
      <w:r>
        <w:rPr>
          <w:b/>
        </w:rPr>
        <w:t xml:space="preserve">Notice Addresses: </w:t>
      </w:r>
      <w:r>
        <w:t>[Complete by user / counsel]</w:t>
      </w:r>
    </w:p>
    <w:p>
      <w:r>
        <w:rPr>
          <w:b/>
        </w:rPr>
        <w:t xml:space="preserve">Dispute Mechanism: </w:t>
      </w:r>
      <w:r>
        <w:t>[Complete by user / counsel]</w:t>
      </w:r>
    </w:p>
    <w:p>
      <w:r>
        <w:rPr>
          <w:b/>
        </w:rPr>
        <w:t xml:space="preserve">Arbitration Seat: </w:t>
      </w:r>
      <w:r>
        <w:t>[Complete by user / counsel]</w:t>
      </w:r>
    </w:p>
    <w:p>
      <w:r>
        <w:rPr>
          <w:b/>
        </w:rPr>
        <w:t xml:space="preserve">Arbitrator Count: </w:t>
      </w:r>
      <w:r>
        <w:t>[Complete by user / counsel]</w:t>
      </w:r>
    </w:p>
    <w:p>
      <w:r>
        <w:rPr>
          <w:b/>
        </w:rPr>
        <w:t xml:space="preserve">Court City: </w:t>
      </w:r>
      <w:r>
        <w:t>[Complete by user / counsel]</w:t>
      </w:r>
    </w:p>
    <w:p>
      <w:r>
        <w:rPr>
          <w:b/>
        </w:rPr>
        <w:t xml:space="preserve">Execution Method: </w:t>
      </w:r>
      <w:r>
        <w:t>[Complete by user / counsel]</w:t>
      </w:r>
    </w:p>
    <w:p>
      <w:r>
        <w:rPr>
          <w:b/>
        </w:rPr>
        <w:t xml:space="preserve">Counterparts: </w:t>
      </w:r>
      <w:r>
        <w:t>[Complete by user / counsel]</w:t>
      </w:r>
    </w:p>
    <w:p>
      <w:r>
        <w:t>Attach additional pages or exhibits if needed and identify each attachment by date and version.</w:t>
      </w:r>
    </w:p>
    <w:p>
      <w:pPr>
        <w:pStyle w:val="Heading1"/>
      </w:pPr>
      <w:r>
        <w:t>Execution and signature blocks</w:t>
      </w:r>
    </w:p>
    <w:p>
      <w:r>
        <w:t>The parties confirm that their signatories are duly authorised and that the completed schedules form part of this Agreement.</w:t>
      </w:r>
    </w:p>
    <w:tbl>
      <w:tblPr>
        <w:tblStyle w:val="TableGrid"/>
        <w:tblW w:type="auto" w:w="0"/>
        <w:tblLook w:firstColumn="1" w:firstRow="1" w:lastColumn="0" w:lastRow="0" w:noHBand="0" w:noVBand="1" w:val="04A0"/>
      </w:tblPr>
      <w:tblGrid>
        <w:gridCol w:w="4968"/>
        <w:gridCol w:w="4968"/>
      </w:tblGrid>
      <w:tr>
        <w:tc>
          <w:tcPr>
            <w:tcW w:type="dxa" w:w="4968"/>
            <w:shd w:fill="D9EAF7"/>
          </w:tcPr>
          <w:p>
            <w:r>
              <w:t>Target / Seller</w:t>
            </w:r>
          </w:p>
        </w:tc>
        <w:tc>
          <w:tcPr>
            <w:tcW w:type="dxa" w:w="4968"/>
            <w:shd w:fill="D9EAF7"/>
          </w:tcPr>
          <w:p>
            <w:r>
              <w:t>Potential Acquirer / Investor</w:t>
            </w:r>
          </w:p>
        </w:tc>
      </w:tr>
      <w:tr>
        <w:tc>
          <w:tcPr>
            <w:tcW w:type="dxa" w:w="4968"/>
          </w:tcPr>
          <w:p>
            <w:r>
              <w:t>Signature: ______________________________</w:t>
            </w:r>
          </w:p>
        </w:tc>
        <w:tc>
          <w:tcPr>
            <w:tcW w:type="dxa" w:w="4968"/>
          </w:tcPr>
          <w:p>
            <w:r>
              <w:t>Signature: ______________________________</w:t>
            </w:r>
          </w:p>
        </w:tc>
      </w:tr>
      <w:tr>
        <w:tc>
          <w:tcPr>
            <w:tcW w:type="dxa" w:w="4968"/>
          </w:tcPr>
          <w:p>
            <w:r>
              <w:t>Name and designation: ____________________</w:t>
            </w:r>
          </w:p>
        </w:tc>
        <w:tc>
          <w:tcPr>
            <w:tcW w:type="dxa" w:w="4968"/>
          </w:tcPr>
          <w:p>
            <w:r>
              <w:t>Name and designation: ____________________</w:t>
            </w:r>
          </w:p>
        </w:tc>
      </w:tr>
      <w:tr>
        <w:tc>
          <w:tcPr>
            <w:tcW w:type="dxa" w:w="4968"/>
          </w:tcPr>
          <w:p>
            <w:r>
              <w:t>Date and place: __________________________</w:t>
            </w:r>
          </w:p>
        </w:tc>
        <w:tc>
          <w:tcPr>
            <w:tcW w:type="dxa" w:w="4968"/>
          </w:tcPr>
          <w:p>
            <w:r>
              <w:t>Date and place: __________________________</w:t>
            </w:r>
          </w:p>
        </w:tc>
      </w:tr>
      <w:tr>
        <w:tc>
          <w:tcPr>
            <w:tcW w:type="dxa" w:w="4968"/>
          </w:tcPr>
          <w:p>
            <w:r>
              <w:t>Witness (if required): _____________________</w:t>
            </w:r>
          </w:p>
        </w:tc>
        <w:tc>
          <w:tcPr>
            <w:tcW w:type="dxa" w:w="4968"/>
          </w:tcPr>
          <w:p>
            <w:r>
              <w:t>Witness (if required): _____________________</w:t>
            </w:r>
          </w:p>
        </w:tc>
      </w:tr>
    </w:tbl>
    <w:p>
      <w:pPr>
        <w:pStyle w:val="Heading1"/>
      </w:pPr>
      <w:r>
        <w:t>Advocate review checklist</w:t>
      </w:r>
    </w:p>
    <w:p>
      <w:pPr>
        <w:pStyle w:val="ListBullet"/>
      </w:pPr>
      <w:r>
        <w:t>Confirm party identity, capacity, authority and correct legal names.</w:t>
      </w:r>
    </w:p>
    <w:p>
      <w:pPr>
        <w:pStyle w:val="ListBullet"/>
      </w:pPr>
      <w:r>
        <w:t>Confirm the Purpose, information categories, permitted recipients and business context.</w:t>
      </w:r>
    </w:p>
    <w:p>
      <w:pPr>
        <w:pStyle w:val="ListBullet"/>
      </w:pPr>
      <w:r>
        <w:t>Check current Tamil Nadu stamp classification, duty and execution formalities; no rate is provided in this template.</w:t>
      </w:r>
    </w:p>
    <w:p>
      <w:pPr>
        <w:pStyle w:val="ListBullet"/>
      </w:pPr>
      <w:r>
        <w:t>Review any restraint, non-solicit, no-hire, exclusivity, standstill, penalty, indemnity or liability limitation.</w:t>
      </w:r>
    </w:p>
    <w:p>
      <w:pPr>
        <w:pStyle w:val="ListBullet"/>
      </w:pPr>
      <w:r>
        <w:t>Check privacy, cybersecurity, sector-specific, employment, competition and IP requirements where relevant.</w:t>
      </w:r>
    </w:p>
    <w:p>
      <w:pPr>
        <w:pStyle w:val="ListBullet"/>
      </w:pPr>
      <w:r>
        <w:t>Check dispute-resolution clause, seat, forum and interim-relief provisions.</w:t>
      </w:r>
    </w:p>
    <w:p>
      <w:pPr>
        <w:pStyle w:val="ListBullet"/>
      </w:pPr>
      <w:r>
        <w:t>Confirm all schedules, notice details, survival periods and deletion/retention rules.</w:t>
      </w:r>
    </w:p>
    <w:p>
      <w:pPr>
        <w:pStyle w:val="Heading1"/>
      </w:pPr>
      <w:r>
        <w:t>Important notice</w:t>
      </w:r>
    </w:p>
    <w:p>
      <w:r>
        <w:t>This is a structured ClauseCite drafting aid, not legal advice. It has not been individually approved by an Indian advocate and is not guaranteed to be enforceable, correctly stamped, registered or suitable for a particular transaction. Obtain advice from an advocate qualified in India and familiar with Tamil Nadu law before signing or relying on it. Mandatory law overrides inconsistent wording.</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Drafting aid only — Indian advocate review required before execution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CLAUSECITE  |  TAMIL NADU NDA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F8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M&amp;A Due Diligence Non-Disclosure Agreement</dc:title>
  <dc:subject>ClauseCite Tamil Nadu NDA template</dc:subject>
  <dc:creator>ClauseCite</dc:creator>
  <cp:keywords/>
  <dc:description>generated by python-docx</dc:description>
  <cp:lastModifiedBy/>
  <cp:revision>1</cp:revision>
  <dcterms:created xsi:type="dcterms:W3CDTF">2013-12-23T23:15:00Z</dcterms:created>
  <dcterms:modified xsi:type="dcterms:W3CDTF">2013-12-23T23:15:00Z</dcterms:modified>
  <cp:category/>
</cp:coreProperties>
</file>