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Data Sharing and Confidentiality Agreement</w:t>
      </w:r>
    </w:p>
    <w:p>
      <w:pPr>
        <w:jc w:val="center"/>
      </w:pPr>
      <w:r>
        <w:rPr>
          <w:i/>
        </w:rPr>
        <w:t>TN-NDA-009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the specific data-sharing activity, dataset and permitted analysis described in Schedule 1.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Data Provider</w:t>
              <w:br/>
              <w:t>Legal name: [●]</w:t>
              <w:br/>
              <w:t>Entity type / constitution: [●]</w:t>
              <w:br/>
              <w:t>Registered / residential address: [●]</w:t>
              <w:br/>
              <w:t>Authorised signatory: [●]</w:t>
              <w:br/>
              <w:t>Email for notices: [●]</w:t>
            </w:r>
          </w:p>
        </w:tc>
        <w:tc>
          <w:tcPr>
            <w:tcW w:type="dxa" w:w="4968"/>
            <w:shd w:fill="EAF2F8"/>
            <w:vAlign w:val="top"/>
          </w:tcPr>
          <w:p>
            <w:r>
              <w:t>Data Recipient</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the specific data-sharing activity, dataset and permitted analysis described in Schedule 1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Dataset and data-flow schedule</w:t>
      </w:r>
    </w:p>
    <w:p>
      <w:r>
        <w:t>Schedule 1 must identify each dataset, data fields, source, data subjects or categories, purpose, frequency, transfer method, access locations, recipients, retention period, permitted outputs, re-identification risk and deletion trigger. Do not transfer personal or sensitive information until lawful authority, notices, consents or other required conditions are verified.</w:t>
      </w:r>
    </w:p>
    <w:p>
      <w:pPr>
        <w:pStyle w:val="Heading1"/>
      </w:pPr>
      <w:r>
        <w:t>Template-specific clause — Data protection roles and instructions</w:t>
      </w:r>
    </w:p>
    <w:p>
      <w:r>
        <w:t>The parties shall document whether each acts as an independent data fiduciary, data processor or another legally recognised role under applicable law. If one party processes on behalf of the other, a separate data-processing schedule shall contain documented instructions, security, subprocessor controls, assistance, incident response, audit, retention and deletion terms.</w:t>
      </w:r>
    </w:p>
    <w:p>
      <w:pPr>
        <w:pStyle w:val="Heading1"/>
      </w:pPr>
      <w:r>
        <w:t>Template-specific clause — DPDP Act and transitional compliance</w:t>
      </w:r>
    </w:p>
    <w:p>
      <w:r>
        <w:t>The parties shall comply with privacy and information-security laws in force and applicable to the processing at the relevant time. The Digital Personal Data Protection Act, 2023 and Digital Personal Data Protection Rules, 2025 have phased commencement. The parties must verify which provisions and rules have commenced on the execution and processing dates, and update this schedule before the relevant provisions take effect. Do not state that all substantive DPDP duties are already in force solely because the Act and Rules have been notified.</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Data Provider</w:t>
            </w:r>
          </w:p>
        </w:tc>
        <w:tc>
          <w:tcPr>
            <w:tcW w:type="dxa" w:w="4968"/>
            <w:shd w:fill="D9EAF7"/>
          </w:tcPr>
          <w:p>
            <w:r>
              <w:t>Data Recipient</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Sharing and Confidentiality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