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SERVICE LEVEL AGREEMENT</w:t>
      </w:r>
    </w:p>
    <w:p>
      <w:pPr>
        <w:jc w:val="center"/>
      </w:pPr>
      <w:r>
        <w:rPr>
          <w:b/>
        </w:rPr>
        <w:t>SVC-005 | Service &amp; Consulting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Service Level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Service performance and support metrics.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Service performance and support metrics.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Availability and measurement</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Incident priority and resolution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Service credits and chronic failure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service_scope</w:t>
            </w:r>
          </w:p>
        </w:tc>
        <w:tc>
          <w:tcPr>
            <w:tcW w:type="dxa" w:w="3331"/>
            <w:vAlign w:val="center"/>
          </w:tcPr>
          <w:p>
            <w:r>
              <w:t>Service scope</w:t>
            </w:r>
          </w:p>
        </w:tc>
        <w:tc>
          <w:tcPr>
            <w:tcW w:type="dxa" w:w="3331"/>
            <w:vAlign w:val="center"/>
          </w:tcPr>
          <w:p>
            <w:r>
              <w:t>{{SERVICE_SCOPE}}</w:t>
            </w:r>
          </w:p>
        </w:tc>
      </w:tr>
      <w:tr>
        <w:tc>
          <w:tcPr>
            <w:tcW w:type="dxa" w:w="3331"/>
            <w:vAlign w:val="center"/>
          </w:tcPr>
          <w:p>
            <w:r>
              <w:t>deliverables</w:t>
            </w:r>
          </w:p>
        </w:tc>
        <w:tc>
          <w:tcPr>
            <w:tcW w:type="dxa" w:w="3331"/>
            <w:vAlign w:val="center"/>
          </w:tcPr>
          <w:p>
            <w:r>
              <w:t>Deliverables</w:t>
            </w:r>
          </w:p>
        </w:tc>
        <w:tc>
          <w:tcPr>
            <w:tcW w:type="dxa" w:w="3331"/>
            <w:vAlign w:val="center"/>
          </w:tcPr>
          <w:p>
            <w:r>
              <w:t>{{DELIVERABLES}}</w:t>
            </w:r>
          </w:p>
        </w:tc>
      </w:tr>
      <w:tr>
        <w:tc>
          <w:tcPr>
            <w:tcW w:type="dxa" w:w="3331"/>
            <w:vAlign w:val="center"/>
          </w:tcPr>
          <w:p>
            <w:r>
              <w:t>acceptance_period</w:t>
            </w:r>
          </w:p>
        </w:tc>
        <w:tc>
          <w:tcPr>
            <w:tcW w:type="dxa" w:w="3331"/>
            <w:vAlign w:val="center"/>
          </w:tcPr>
          <w:p>
            <w:r>
              <w:t>Acceptance period</w:t>
            </w:r>
          </w:p>
        </w:tc>
        <w:tc>
          <w:tcPr>
            <w:tcW w:type="dxa" w:w="3331"/>
            <w:vAlign w:val="center"/>
          </w:tcPr>
          <w:p>
            <w:r>
              <w:t>{{ACCEPTANCE_PERIOD}}</w:t>
            </w:r>
          </w:p>
        </w:tc>
      </w:tr>
      <w:tr>
        <w:tc>
          <w:tcPr>
            <w:tcW w:type="dxa" w:w="3331"/>
            <w:vAlign w:val="center"/>
          </w:tcPr>
          <w:p>
            <w:r>
              <w:t>service_levels</w:t>
            </w:r>
          </w:p>
        </w:tc>
        <w:tc>
          <w:tcPr>
            <w:tcW w:type="dxa" w:w="3331"/>
            <w:vAlign w:val="center"/>
          </w:tcPr>
          <w:p>
            <w:r>
              <w:t>Service levels</w:t>
            </w:r>
          </w:p>
        </w:tc>
        <w:tc>
          <w:tcPr>
            <w:tcW w:type="dxa" w:w="3331"/>
            <w:vAlign w:val="center"/>
          </w:tcPr>
          <w:p>
            <w:r>
              <w:t>{{SERVICE_LEVELS}}</w:t>
            </w:r>
          </w:p>
        </w:tc>
      </w:tr>
      <w:tr>
        <w:tc>
          <w:tcPr>
            <w:tcW w:type="dxa" w:w="3331"/>
            <w:vAlign w:val="center"/>
          </w:tcPr>
          <w:p>
            <w:r>
              <w:t>change_control</w:t>
            </w:r>
          </w:p>
        </w:tc>
        <w:tc>
          <w:tcPr>
            <w:tcW w:type="dxa" w:w="3331"/>
            <w:vAlign w:val="center"/>
          </w:tcPr>
          <w:p>
            <w:r>
              <w:t>Change control</w:t>
            </w:r>
          </w:p>
        </w:tc>
        <w:tc>
          <w:tcPr>
            <w:tcW w:type="dxa" w:w="3331"/>
            <w:vAlign w:val="center"/>
          </w:tcPr>
          <w:p>
            <w:r>
              <w:t>{{CHANGE_CONTROL}}</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Availability and measurement: {[INSERT AGREED DETAILS OR MARK NOT APPLICABLE]}</w:t>
      </w:r>
    </w:p>
    <w:p>
      <w:pPr>
        <w:pStyle w:val="ListBullet"/>
      </w:pPr>
      <w:r>
        <w:t>Incident priority and resolution: {[INSERT AGREED DETAILS OR MARK NOT APPLICABLE]}</w:t>
      </w:r>
    </w:p>
    <w:p>
      <w:pPr>
        <w:pStyle w:val="ListBullet"/>
      </w:pPr>
      <w:r>
        <w:t>Service credits and chronic failure: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