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DEED OF INDEMNITY</w:t>
      </w:r>
    </w:p>
    <w:p>
      <w:pPr>
        <w:jc w:val="center"/>
      </w:pPr>
      <w:r>
        <w:rPr>
          <w:b/>
        </w:rPr>
        <w:t>TAX-003 | Termination, Assignment &amp; Indemnity Agreements | INDIA — TAMIL NADU DEFAULT</w:t>
      </w:r>
    </w:p>
    <w:p>
      <w:r>
        <w:t>DRAFTING STATUS: Structured commercial form for completion and legal review. Do not sign with unresolved placeholders, bracketed options or incomplete schedules. This form is not a legal opinion and does not determine stamp duty or registration.</w:t>
      </w:r>
    </w:p>
    <w:p>
      <w:pPr>
        <w:pStyle w:val="Heading1"/>
      </w:pPr>
      <w:r>
        <w:t>PARTIES AND EFFECTIVE DATE</w:t>
      </w:r>
    </w:p>
    <w:p>
      <w:r>
        <w:t>This Deed of Indemnity (the “Agreement”) is made on {AGREEMENT_DATE} and takes effect on {EFFECTIVE_DATE} (the “Effective Date”) between:</w:t>
      </w:r>
    </w:p>
    <w:p>
      <w:r>
        <w:t>(A) {{PARTY_A_LEGAL_NAME}}, a {{PARTY_A_ENTITY_TYPE}}, having its registered/principal office at {{PARTY_A_REGISTERED_ADDRESS}} (“Party A”); and</w:t>
      </w:r>
    </w:p>
    <w:p>
      <w:r>
        <w:t>(B) {{PARTY_B_LEGAL_NAME}}, a {{PARTY_B_ENTITY_TYPE}}, having its registered/principal office at {{PARTY_B_REGISTERED_ADDRESS}} (“Party B”).</w:t>
      </w:r>
    </w:p>
    <w:p>
      <w:r>
        <w:t>Party A and Party B are individually a “Party” and together the “Parties”.</w:t>
      </w:r>
    </w:p>
    <w:p>
      <w:pPr>
        <w:pStyle w:val="Heading1"/>
      </w:pPr>
      <w:r>
        <w:t>RECITALS</w:t>
      </w:r>
    </w:p>
    <w:p>
      <w:r>
        <w:t>A. Party A requires / proposes to engage the transaction described as: Indemnity risks and claim procedure.</w:t>
      </w:r>
    </w:p>
    <w:p>
      <w:r>
        <w:t>B. Party B represents that it has the capability and authority to undertake the obligations allocated to it under this Agreement.</w:t>
      </w:r>
    </w:p>
    <w:p>
      <w:r>
        <w:t>C. The Parties wish to record their complete understanding on the terms below.</w:t>
      </w:r>
    </w:p>
    <w:p>
      <w:pPr>
        <w:pStyle w:val="Heading1"/>
      </w:pPr>
      <w:r>
        <w:t>OPERATIVE TERMS</w:t>
      </w:r>
    </w:p>
    <w:p>
      <w:pPr>
        <w:spacing w:before="140" w:after="60"/>
      </w:pPr>
      <w:r>
        <w:rPr>
          <w:b/>
          <w:color w:val="1F4E79"/>
          <w:sz w:val="21"/>
        </w:rPr>
        <w:t>1. Purpose and transaction</w:t>
      </w:r>
    </w:p>
    <w:p>
      <w:pPr>
        <w:spacing w:after="80"/>
      </w:pPr>
      <w:r>
        <w:rPr>
          <w:sz w:val="18"/>
        </w:rPr>
        <w:t>The purpose of this Agreement is Indemnity risks and claim procedure. and the detailed scope, deliverables, commercial terms and assumptions are set out in the Schedules. If a purchase order or statement of work is used, it forms part of this Agreement only to the extent accepted in writing by both Parties.</w:t>
      </w:r>
    </w:p>
    <w:p>
      <w:pPr>
        <w:spacing w:before="140" w:after="60"/>
      </w:pPr>
      <w:r>
        <w:rPr>
          <w:b/>
          <w:color w:val="1F4E79"/>
          <w:sz w:val="21"/>
        </w:rPr>
        <w:t>2. Definitions and interpretation</w:t>
      </w:r>
    </w:p>
    <w:p>
      <w:pPr>
        <w:spacing w:after="80"/>
      </w:pPr>
      <w:r>
        <w:rPr>
          <w:sz w:val="18"/>
        </w:rPr>
        <w:t>In this Agreement, unless the context requires otherwise, defined terms have the meanings assigned to them. Headings are for convenience and do not affect interpretation. References to laws include amendments and re-enactments, subject to applicable commencement.</w:t>
      </w:r>
    </w:p>
    <w:p>
      <w:pPr>
        <w:spacing w:before="140" w:after="60"/>
      </w:pPr>
      <w:r>
        <w:rPr>
          <w:b/>
          <w:color w:val="1F4E79"/>
          <w:sz w:val="21"/>
        </w:rPr>
        <w:t>3. Appointment and relationship</w:t>
      </w:r>
    </w:p>
    <w:p>
      <w:pPr>
        <w:spacing w:after="80"/>
      </w:pPr>
      <w:r>
        <w:rPr>
          <w:sz w:val="18"/>
        </w:rPr>
        <w:t>Each Party acts as an independent contracting party. Nothing creates a partnership, agency, employment, fiduciary or joint venture relationship unless expressly stated and legally constituted. Neither Party may bind the other without prior written authority.</w:t>
      </w:r>
    </w:p>
    <w:p>
      <w:pPr>
        <w:spacing w:before="140" w:after="60"/>
      </w:pPr>
      <w:r>
        <w:rPr>
          <w:b/>
          <w:color w:val="1F4E79"/>
          <w:sz w:val="21"/>
        </w:rPr>
        <w:t>4. Scope and performance</w:t>
      </w:r>
    </w:p>
    <w:p>
      <w:pPr>
        <w:spacing w:after="80"/>
      </w:pPr>
      <w:r>
        <w:rPr>
          <w:sz w:val="18"/>
        </w:rPr>
        <w:t>The scope, specifications, deliverables, exclusions, milestones and service levels are those expressly stated in Schedule 1 and any duly signed work order. No oral statement changes the agreed scope.</w:t>
      </w:r>
    </w:p>
    <w:p>
      <w:pPr>
        <w:spacing w:before="140" w:after="60"/>
      </w:pPr>
      <w:r>
        <w:rPr>
          <w:b/>
          <w:color w:val="1F4E79"/>
          <w:sz w:val="21"/>
        </w:rPr>
        <w:t>5. Responsibilities and cooperation</w:t>
      </w:r>
    </w:p>
    <w:p>
      <w:pPr>
        <w:spacing w:after="80"/>
      </w:pPr>
      <w:r>
        <w:rPr>
          <w:sz w:val="18"/>
        </w:rPr>
        <w:t>Each Party shall appoint an authorised contact, provide the information and access allocated to it, obtain its own approvals and promptly notify the other of any material dependency, delay or risk.</w:t>
      </w:r>
    </w:p>
    <w:p>
      <w:pPr>
        <w:spacing w:before="140" w:after="60"/>
      </w:pPr>
      <w:r>
        <w:rPr>
          <w:b/>
          <w:color w:val="1F4E79"/>
          <w:sz w:val="21"/>
        </w:rPr>
        <w:t>6. Fees, invoicing and taxes</w:t>
      </w:r>
    </w:p>
    <w:p>
      <w:pPr>
        <w:spacing w:after="80"/>
      </w:pPr>
      <w:r>
        <w:rPr>
          <w:sz w:val="18"/>
        </w:rPr>
        <w:t>Fees, currency, invoicing milestones and payment due dates are set out in Schedule 2. Unless expressly stated otherwise, applicable GST is additional and shall be invoiced in accordance with law. Each Party shall provide valid tax details and cooperate on lawful tax documentation. TDS or other withholding may be deducted only as required by applicable law, with certificates furnished within statutory timelines.</w:t>
      </w:r>
    </w:p>
    <w:p>
      <w:pPr>
        <w:spacing w:before="140" w:after="60"/>
      </w:pPr>
      <w:r>
        <w:rPr>
          <w:b/>
          <w:color w:val="1F4E79"/>
          <w:sz w:val="21"/>
        </w:rPr>
        <w:t>7. Change control</w:t>
      </w:r>
    </w:p>
    <w:p>
      <w:pPr>
        <w:spacing w:after="80"/>
      </w:pPr>
      <w:r>
        <w:rPr>
          <w:sz w:val="18"/>
        </w:rPr>
        <w:t>A change is effective only when recorded in a written change order signed by authorised representatives. The change order shall describe scope, price, taxes, milestones, dependencies and any effect on acceptance criteria.</w:t>
      </w:r>
    </w:p>
    <w:p>
      <w:pPr>
        <w:spacing w:before="140" w:after="60"/>
      </w:pPr>
      <w:r>
        <w:rPr>
          <w:b/>
          <w:color w:val="1F4E79"/>
          <w:sz w:val="21"/>
        </w:rPr>
        <w:t>8. Representations and warranties</w:t>
      </w:r>
    </w:p>
    <w:p>
      <w:pPr>
        <w:spacing w:after="80"/>
      </w:pPr>
      <w:r>
        <w:rPr>
          <w:sz w:val="18"/>
        </w:rPr>
        <w:t>Each Party represents that it is duly organised or validly existing under the law applicable to it, has capacity and authority to enter into this Agreement, and will perform its obligations in accordance with applicable law. Additional product, service or title warranties must be expressly set out in Schedule 3.</w:t>
      </w:r>
    </w:p>
    <w:p>
      <w:pPr>
        <w:spacing w:before="140" w:after="60"/>
      </w:pPr>
      <w:r>
        <w:rPr>
          <w:b/>
          <w:color w:val="1F4E79"/>
          <w:sz w:val="21"/>
        </w:rPr>
        <w:t>9. Confidentiality</w:t>
      </w:r>
    </w:p>
    <w:p>
      <w:pPr>
        <w:spacing w:after="80"/>
      </w:pPr>
      <w:r>
        <w:rPr>
          <w:sz w:val="18"/>
        </w:rPr>
        <w:t>The receiving Party shall use confidential information only to perform or receive the benefit of this Agreement, protect it using reasonable safeguards, and disclose it only to personnel and advisers who need to know and are bound by confidentiality obligations. Standard exclusions apply to information already lawfully known, public without breach, independently developed or lawfully received. Compelled disclosure shall be notified where lawful.</w:t>
      </w:r>
    </w:p>
    <w:p>
      <w:pPr>
        <w:spacing w:before="140" w:after="60"/>
      </w:pPr>
      <w:r>
        <w:rPr>
          <w:b/>
          <w:color w:val="1F4E79"/>
          <w:sz w:val="21"/>
        </w:rPr>
        <w:t>10. Intellectual property</w:t>
      </w:r>
    </w:p>
    <w:p>
      <w:pPr>
        <w:spacing w:after="80"/>
      </w:pPr>
      <w:r>
        <w:rPr>
          <w:sz w:val="18"/>
        </w:rPr>
        <w:t>Each Party retains its pre-existing intellectual property. Ownership or licence of project deliverables, modifications, source materials and third-party components shall be expressly identified in Schedule 4. No assignment is implied. Any assignment must identify the rights, works, territory, duration and consideration and satisfy applicable statutory formalities.</w:t>
      </w:r>
    </w:p>
    <w:p>
      <w:pPr>
        <w:spacing w:before="140" w:after="60"/>
      </w:pPr>
      <w:r>
        <w:rPr>
          <w:b/>
          <w:color w:val="1F4E79"/>
          <w:sz w:val="21"/>
        </w:rPr>
        <w:t>11. Data protection and security</w:t>
      </w:r>
    </w:p>
    <w:p>
      <w:pPr>
        <w:spacing w:after="80"/>
      </w:pPr>
      <w:r>
        <w:rPr>
          <w:sz w:val="18"/>
        </w:rPr>
        <w:t>Each Party shall comply with data protection and information-security laws applicable to its role and the processing in question. The Parties shall document purpose, data categories, instructions, safeguards, incident escalation, retention, deletion, sub-processing and cross-border access in a data-processing schedule where needed.</w:t>
      </w:r>
    </w:p>
    <w:p>
      <w:pPr>
        <w:spacing w:before="140" w:after="60"/>
      </w:pPr>
      <w:r>
        <w:rPr>
          <w:b/>
          <w:color w:val="1F4E79"/>
          <w:sz w:val="21"/>
        </w:rPr>
        <w:t>12. Compliance with laws</w:t>
      </w:r>
    </w:p>
    <w:p>
      <w:pPr>
        <w:spacing w:after="80"/>
      </w:pPr>
      <w:r>
        <w:rPr>
          <w:sz w:val="18"/>
        </w:rPr>
        <w:t>Each Party shall comply with laws applicable to its own business and performance. Sector-specific licences, labour and social security obligations, workplace safety, competition, advertising, consumer, foreign exchange and tax matters shall be allocated in the schedules where relevant.</w:t>
      </w:r>
    </w:p>
    <w:p>
      <w:pPr>
        <w:spacing w:before="140" w:after="60"/>
      </w:pPr>
      <w:r>
        <w:rPr>
          <w:b/>
          <w:color w:val="1F4E79"/>
          <w:sz w:val="21"/>
        </w:rPr>
        <w:t>13. Indemnity</w:t>
      </w:r>
    </w:p>
    <w:p>
      <w:pPr>
        <w:spacing w:after="80"/>
      </w:pPr>
      <w:r>
        <w:rPr>
          <w:sz w:val="18"/>
        </w:rPr>
        <w:t>The indemnifying Party shall indemnify the indemnified Party only for the categories of third-party claims and losses expressly identified in Schedule 5, subject to notice, defence control, cooperation, mitigation, settlement consent and the agreed limitations. No indemnity shall be expanded by implication.</w:t>
      </w:r>
    </w:p>
    <w:p>
      <w:pPr>
        <w:spacing w:before="140" w:after="60"/>
      </w:pPr>
      <w:r>
        <w:rPr>
          <w:b/>
          <w:color w:val="1F4E79"/>
          <w:sz w:val="21"/>
        </w:rPr>
        <w:t>14. Limitation of liability</w:t>
      </w:r>
    </w:p>
    <w:p>
      <w:pPr>
        <w:spacing w:after="80"/>
      </w:pPr>
      <w:r>
        <w:rPr>
          <w:sz w:val="18"/>
        </w:rPr>
        <w:t>The aggregate liability cap, excluded loss categories and negotiated carve-outs are stated in Schedule 5. The Parties shall expressly consider confidentiality, data security, IP infringement, fraud, wilful misconduct, death/personal injury and payment obligations. Any exclusion or cap is subject to applicable law.</w:t>
      </w:r>
    </w:p>
    <w:p>
      <w:pPr>
        <w:spacing w:before="140" w:after="60"/>
      </w:pPr>
      <w:r>
        <w:rPr>
          <w:b/>
          <w:color w:val="1F4E79"/>
          <w:sz w:val="21"/>
        </w:rPr>
        <w:t>15. Term, suspension and termination</w:t>
      </w:r>
    </w:p>
    <w:p>
      <w:pPr>
        <w:spacing w:after="80"/>
      </w:pPr>
      <w:r>
        <w:rPr>
          <w:sz w:val="18"/>
        </w:rPr>
        <w:t>This Agreement begins on the Effective Date and continues for the term stated in Schedule 1. Termination rights, cure periods, suspension rights and consequences shall be completed in Schedule 6. Accrued payment obligations and clauses intended to survive shall continue.</w:t>
      </w:r>
    </w:p>
    <w:p>
      <w:pPr>
        <w:spacing w:before="140" w:after="60"/>
      </w:pPr>
      <w:r>
        <w:rPr>
          <w:b/>
          <w:color w:val="1F4E79"/>
          <w:sz w:val="21"/>
        </w:rPr>
        <w:t>16. Force majeure</w:t>
      </w:r>
    </w:p>
    <w:p>
      <w:pPr>
        <w:spacing w:after="80"/>
      </w:pPr>
      <w:r>
        <w:rPr>
          <w:sz w:val="18"/>
        </w:rPr>
        <w:t>A Party is excused from affected performance to the extent prevented by an event beyond its reasonable control, provided it gives prompt notice, mitigates impact and resumes performance. Payment for already delivered goods or services remains due. If the event continues beyond the agreed long-stop period, either Party may exercise the termination right specified in Schedule 6.</w:t>
      </w:r>
    </w:p>
    <w:p>
      <w:pPr>
        <w:spacing w:before="140" w:after="60"/>
      </w:pPr>
      <w:r>
        <w:rPr>
          <w:b/>
          <w:color w:val="1F4E79"/>
          <w:sz w:val="21"/>
        </w:rPr>
        <w:t>17. Dispute resolution and governing law</w:t>
      </w:r>
    </w:p>
    <w:p>
      <w:pPr>
        <w:spacing w:after="80"/>
      </w:pPr>
      <w:r>
        <w:rPr>
          <w:sz w:val="18"/>
        </w:rPr>
        <w:t>This Agreement is governed by the laws of India. The Parties shall first refer a dispute to their nominated senior representatives for good-faith resolution. If unresolved within the period specified in Schedule 7, the Parties shall use the dispute mechanism expressly selected there. If arbitration is selected, specify the juridical seat, venue, language, number and appointment of arbitrators and interim-relief forum. Courts at {{court_jurisdiction}} shall have jurisdiction only to the extent legally competent and consistent with the chosen arbitration seat.</w:t>
      </w:r>
    </w:p>
    <w:p>
      <w:pPr>
        <w:spacing w:before="140" w:after="60"/>
      </w:pPr>
      <w:r>
        <w:rPr>
          <w:b/>
          <w:color w:val="1F4E79"/>
          <w:sz w:val="21"/>
        </w:rPr>
        <w:t>18. Notices and general provisions</w:t>
      </w:r>
    </w:p>
    <w:p>
      <w:pPr>
        <w:spacing w:after="80"/>
      </w:pPr>
      <w:r>
        <w:rPr>
          <w:sz w:val="18"/>
        </w:rPr>
        <w:t>Notices shall be sent to the addresses and email contacts in Schedule 1 using the delivery methods specified there. Assignment, subcontracting, waiver, severability, entire agreement, amendment, order of precedence and counterparts are governed by Schedule 8. No amendment is effective unless written and signed by authorised representatives.</w:t>
      </w:r>
    </w:p>
    <w:p>
      <w:pPr>
        <w:spacing w:before="140" w:after="60"/>
      </w:pPr>
      <w:r>
        <w:rPr>
          <w:b/>
          <w:color w:val="1F4E79"/>
          <w:sz w:val="21"/>
        </w:rPr>
        <w:t>19. Execution and stamp compliance</w:t>
      </w:r>
    </w:p>
    <w:p>
      <w:pPr>
        <w:spacing w:after="80"/>
      </w:pPr>
      <w:r>
        <w:rPr>
          <w:sz w:val="18"/>
        </w:rPr>
        <w:t>The Parties shall execute this instrument using a method and on an instrument bearing stamp duty, if any, determined under the law applicable in Tamil Nadu on the execution date. The Parties shall separately verify whether registration, notarisation, witnesses or other formalities apply. No statement in this template is a determination of stamp duty or registrability.</w:t>
      </w:r>
    </w:p>
    <w:p>
      <w:pPr>
        <w:spacing w:before="140" w:after="60"/>
      </w:pPr>
      <w:r>
        <w:rPr>
          <w:b/>
          <w:color w:val="1F4E79"/>
          <w:sz w:val="21"/>
        </w:rPr>
        <w:t>20. Covered losses and persons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21. Claim notice and defence</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22. Caps and exclusions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pStyle w:val="Heading1"/>
      </w:pPr>
      <w:r>
        <w:t>SCHEDULE 1 — COMMERCIAL PARTICULARS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Field</w:t>
            </w:r>
          </w:p>
        </w:tc>
        <w:tc>
          <w:tcPr>
            <w:tcW w:type="dxa" w:w="3331"/>
          </w:tcPr>
          <w:p>
            <w:r>
              <w:t>Completion guidance</w:t>
            </w:r>
          </w:p>
        </w:tc>
        <w:tc>
          <w:tcPr>
            <w:tcW w:type="dxa" w:w="3331"/>
          </w:tcPr>
          <w:p>
            <w:r>
              <w:t>Agreed details</w:t>
            </w:r>
          </w:p>
        </w:tc>
      </w:tr>
      <w:tr>
        <w:tc>
          <w:tcPr>
            <w:tcW w:type="dxa" w:w="3331"/>
            <w:vAlign w:val="center"/>
          </w:tcPr>
          <w:p>
            <w:r>
              <w:t>agreement_date</w:t>
            </w:r>
          </w:p>
        </w:tc>
        <w:tc>
          <w:tcPr>
            <w:tcW w:type="dxa" w:w="3331"/>
            <w:vAlign w:val="center"/>
          </w:tcPr>
          <w:p>
            <w:r>
              <w:t>Date of signing</w:t>
            </w:r>
          </w:p>
        </w:tc>
        <w:tc>
          <w:tcPr>
            <w:tcW w:type="dxa" w:w="3331"/>
            <w:vAlign w:val="center"/>
          </w:tcPr>
          <w:p>
            <w:r>
              <w:t>{{AGREEMENT_DATE}}</w:t>
            </w:r>
          </w:p>
        </w:tc>
      </w:tr>
      <w:tr>
        <w:tc>
          <w:tcPr>
            <w:tcW w:type="dxa" w:w="3331"/>
            <w:vAlign w:val="center"/>
          </w:tcPr>
          <w:p>
            <w:r>
              <w:t>effective_date</w:t>
            </w:r>
          </w:p>
        </w:tc>
        <w:tc>
          <w:tcPr>
            <w:tcW w:type="dxa" w:w="3331"/>
            <w:vAlign w:val="center"/>
          </w:tcPr>
          <w:p>
            <w:r>
              <w:t>Effective date</w:t>
            </w:r>
          </w:p>
        </w:tc>
        <w:tc>
          <w:tcPr>
            <w:tcW w:type="dxa" w:w="3331"/>
            <w:vAlign w:val="center"/>
          </w:tcPr>
          <w:p>
            <w:r>
              <w:t>{{EFFECTIVE_DATE}}</w:t>
            </w:r>
          </w:p>
        </w:tc>
      </w:tr>
      <w:tr>
        <w:tc>
          <w:tcPr>
            <w:tcW w:type="dxa" w:w="3331"/>
            <w:vAlign w:val="center"/>
          </w:tcPr>
          <w:p>
            <w:r>
              <w:t>party_a_legal_name</w:t>
            </w:r>
          </w:p>
        </w:tc>
        <w:tc>
          <w:tcPr>
            <w:tcW w:type="dxa" w:w="3331"/>
            <w:vAlign w:val="center"/>
          </w:tcPr>
          <w:p>
            <w:r>
              <w:t>Full legal name of Party A</w:t>
            </w:r>
          </w:p>
        </w:tc>
        <w:tc>
          <w:tcPr>
            <w:tcW w:type="dxa" w:w="3331"/>
            <w:vAlign w:val="center"/>
          </w:tcPr>
          <w:p>
            <w:r>
              <w:t>{{PARTY_A_LEGAL_NAME}}</w:t>
            </w:r>
          </w:p>
        </w:tc>
      </w:tr>
      <w:tr>
        <w:tc>
          <w:tcPr>
            <w:tcW w:type="dxa" w:w="3331"/>
            <w:vAlign w:val="center"/>
          </w:tcPr>
          <w:p>
            <w:r>
              <w:t>party_a_entity_type</w:t>
            </w:r>
          </w:p>
        </w:tc>
        <w:tc>
          <w:tcPr>
            <w:tcW w:type="dxa" w:w="3331"/>
            <w:vAlign w:val="center"/>
          </w:tcPr>
          <w:p>
            <w:r>
              <w:t>Company/LLP/partnership/proprietor/individual</w:t>
            </w:r>
          </w:p>
        </w:tc>
        <w:tc>
          <w:tcPr>
            <w:tcW w:type="dxa" w:w="3331"/>
            <w:vAlign w:val="center"/>
          </w:tcPr>
          <w:p>
            <w:r>
              <w:t>{{PARTY_A_ENTITY_TYPE}}</w:t>
            </w:r>
          </w:p>
        </w:tc>
      </w:tr>
      <w:tr>
        <w:tc>
          <w:tcPr>
            <w:tcW w:type="dxa" w:w="3331"/>
            <w:vAlign w:val="center"/>
          </w:tcPr>
          <w:p>
            <w:r>
              <w:t>party_a_registered_address</w:t>
            </w:r>
          </w:p>
        </w:tc>
        <w:tc>
          <w:tcPr>
            <w:tcW w:type="dxa" w:w="3331"/>
            <w:vAlign w:val="center"/>
          </w:tcPr>
          <w:p>
            <w:r>
              <w:t>Registered/principal address of Party A</w:t>
            </w:r>
          </w:p>
        </w:tc>
        <w:tc>
          <w:tcPr>
            <w:tcW w:type="dxa" w:w="3331"/>
            <w:vAlign w:val="center"/>
          </w:tcPr>
          <w:p>
            <w:r>
              <w:t>{{PARTY_A_REGISTERED_ADDRESS}}</w:t>
            </w:r>
          </w:p>
        </w:tc>
      </w:tr>
      <w:tr>
        <w:tc>
          <w:tcPr>
            <w:tcW w:type="dxa" w:w="3331"/>
            <w:vAlign w:val="center"/>
          </w:tcPr>
          <w:p>
            <w:r>
              <w:t>party_a_cin_llpin_pan</w:t>
            </w:r>
          </w:p>
        </w:tc>
        <w:tc>
          <w:tcPr>
            <w:tcW w:type="dxa" w:w="3331"/>
            <w:vAlign w:val="center"/>
          </w:tcPr>
          <w:p>
            <w:r>
              <w:t>CIN/LLPIN/PAN or other identifier, if applicable</w:t>
            </w:r>
          </w:p>
        </w:tc>
        <w:tc>
          <w:tcPr>
            <w:tcW w:type="dxa" w:w="3331"/>
            <w:vAlign w:val="center"/>
          </w:tcPr>
          <w:p>
            <w:r>
              <w:t>{{PARTY_A_CIN_LLPIN_PAN}}</w:t>
            </w:r>
          </w:p>
        </w:tc>
      </w:tr>
      <w:tr>
        <w:tc>
          <w:tcPr>
            <w:tcW w:type="dxa" w:w="3331"/>
            <w:vAlign w:val="center"/>
          </w:tcPr>
          <w:p>
            <w:r>
              <w:t>party_a_gstin</w:t>
            </w:r>
          </w:p>
        </w:tc>
        <w:tc>
          <w:tcPr>
            <w:tcW w:type="dxa" w:w="3331"/>
            <w:vAlign w:val="center"/>
          </w:tcPr>
          <w:p>
            <w:r>
              <w:t>GSTIN, if registered/applicable</w:t>
            </w:r>
          </w:p>
        </w:tc>
        <w:tc>
          <w:tcPr>
            <w:tcW w:type="dxa" w:w="3331"/>
            <w:vAlign w:val="center"/>
          </w:tcPr>
          <w:p>
            <w:r>
              <w:t>{{PARTY_A_GSTIN}}</w:t>
            </w:r>
          </w:p>
        </w:tc>
      </w:tr>
      <w:tr>
        <w:tc>
          <w:tcPr>
            <w:tcW w:type="dxa" w:w="3331"/>
            <w:vAlign w:val="center"/>
          </w:tcPr>
          <w:p>
            <w:r>
              <w:t>party_b_legal_name</w:t>
            </w:r>
          </w:p>
        </w:tc>
        <w:tc>
          <w:tcPr>
            <w:tcW w:type="dxa" w:w="3331"/>
            <w:vAlign w:val="center"/>
          </w:tcPr>
          <w:p>
            <w:r>
              <w:t>Full legal name of Party B</w:t>
            </w:r>
          </w:p>
        </w:tc>
        <w:tc>
          <w:tcPr>
            <w:tcW w:type="dxa" w:w="3331"/>
            <w:vAlign w:val="center"/>
          </w:tcPr>
          <w:p>
            <w:r>
              <w:t>{{PARTY_B_LEGAL_NAME}}</w:t>
            </w:r>
          </w:p>
        </w:tc>
      </w:tr>
      <w:tr>
        <w:tc>
          <w:tcPr>
            <w:tcW w:type="dxa" w:w="3331"/>
            <w:vAlign w:val="center"/>
          </w:tcPr>
          <w:p>
            <w:r>
              <w:t>party_b_entity_type</w:t>
            </w:r>
          </w:p>
        </w:tc>
        <w:tc>
          <w:tcPr>
            <w:tcW w:type="dxa" w:w="3331"/>
            <w:vAlign w:val="center"/>
          </w:tcPr>
          <w:p>
            <w:r>
              <w:t>Company/LLP/partnership/proprietor/individual</w:t>
            </w:r>
          </w:p>
        </w:tc>
        <w:tc>
          <w:tcPr>
            <w:tcW w:type="dxa" w:w="3331"/>
            <w:vAlign w:val="center"/>
          </w:tcPr>
          <w:p>
            <w:r>
              <w:t>{{PARTY_B_ENTITY_TYPE}}</w:t>
            </w:r>
          </w:p>
        </w:tc>
      </w:tr>
      <w:tr>
        <w:tc>
          <w:tcPr>
            <w:tcW w:type="dxa" w:w="3331"/>
            <w:vAlign w:val="center"/>
          </w:tcPr>
          <w:p>
            <w:r>
              <w:t>party_b_registered_address</w:t>
            </w:r>
          </w:p>
        </w:tc>
        <w:tc>
          <w:tcPr>
            <w:tcW w:type="dxa" w:w="3331"/>
            <w:vAlign w:val="center"/>
          </w:tcPr>
          <w:p>
            <w:r>
              <w:t>Registered/principal address of Party B</w:t>
            </w:r>
          </w:p>
        </w:tc>
        <w:tc>
          <w:tcPr>
            <w:tcW w:type="dxa" w:w="3331"/>
            <w:vAlign w:val="center"/>
          </w:tcPr>
          <w:p>
            <w:r>
              <w:t>{{PARTY_B_REGISTERED_ADDRESS}}</w:t>
            </w:r>
          </w:p>
        </w:tc>
      </w:tr>
      <w:tr>
        <w:tc>
          <w:tcPr>
            <w:tcW w:type="dxa" w:w="3331"/>
            <w:vAlign w:val="center"/>
          </w:tcPr>
          <w:p>
            <w:r>
              <w:t>party_b_cin_llpin_pan</w:t>
            </w:r>
          </w:p>
        </w:tc>
        <w:tc>
          <w:tcPr>
            <w:tcW w:type="dxa" w:w="3331"/>
            <w:vAlign w:val="center"/>
          </w:tcPr>
          <w:p>
            <w:r>
              <w:t>CIN/LLPIN/PAN or other identifier, if applicable</w:t>
            </w:r>
          </w:p>
        </w:tc>
        <w:tc>
          <w:tcPr>
            <w:tcW w:type="dxa" w:w="3331"/>
            <w:vAlign w:val="center"/>
          </w:tcPr>
          <w:p>
            <w:r>
              <w:t>{{PARTY_B_CIN_LLPIN_PAN}}</w:t>
            </w:r>
          </w:p>
        </w:tc>
      </w:tr>
      <w:tr>
        <w:tc>
          <w:tcPr>
            <w:tcW w:type="dxa" w:w="3331"/>
            <w:vAlign w:val="center"/>
          </w:tcPr>
          <w:p>
            <w:r>
              <w:t>party_b_gstin</w:t>
            </w:r>
          </w:p>
        </w:tc>
        <w:tc>
          <w:tcPr>
            <w:tcW w:type="dxa" w:w="3331"/>
            <w:vAlign w:val="center"/>
          </w:tcPr>
          <w:p>
            <w:r>
              <w:t>GSTIN, if registered/applicable</w:t>
            </w:r>
          </w:p>
        </w:tc>
        <w:tc>
          <w:tcPr>
            <w:tcW w:type="dxa" w:w="3331"/>
            <w:vAlign w:val="center"/>
          </w:tcPr>
          <w:p>
            <w:r>
              <w:t>{{PARTY_B_GSTIN}}</w:t>
            </w:r>
          </w:p>
        </w:tc>
      </w:tr>
      <w:tr>
        <w:tc>
          <w:tcPr>
            <w:tcW w:type="dxa" w:w="3331"/>
            <w:vAlign w:val="center"/>
          </w:tcPr>
          <w:p>
            <w:r>
              <w:t>state_of_execution</w:t>
            </w:r>
          </w:p>
        </w:tc>
        <w:tc>
          <w:tcPr>
            <w:tcW w:type="dxa" w:w="3331"/>
            <w:vAlign w:val="center"/>
          </w:tcPr>
          <w:p>
            <w:r>
              <w:t>Default Tamil Nadu; specify district and place of signing</w:t>
            </w:r>
          </w:p>
        </w:tc>
        <w:tc>
          <w:tcPr>
            <w:tcW w:type="dxa" w:w="3331"/>
            <w:vAlign w:val="center"/>
          </w:tcPr>
          <w:p>
            <w:r>
              <w:t>{{STATE_OF_EXECUTION}}</w:t>
            </w:r>
          </w:p>
        </w:tc>
      </w:tr>
      <w:tr>
        <w:tc>
          <w:tcPr>
            <w:tcW w:type="dxa" w:w="3331"/>
            <w:vAlign w:val="center"/>
          </w:tcPr>
          <w:p>
            <w:r>
              <w:t>district_of_execution</w:t>
            </w:r>
          </w:p>
        </w:tc>
        <w:tc>
          <w:tcPr>
            <w:tcW w:type="dxa" w:w="3331"/>
            <w:vAlign w:val="center"/>
          </w:tcPr>
          <w:p>
            <w:r>
              <w:t>District in Tamil Nadu where signed</w:t>
            </w:r>
          </w:p>
        </w:tc>
        <w:tc>
          <w:tcPr>
            <w:tcW w:type="dxa" w:w="3331"/>
            <w:vAlign w:val="center"/>
          </w:tcPr>
          <w:p>
            <w:r>
              <w:t>{{DISTRICT_OF_EXECUTION}}</w:t>
            </w:r>
          </w:p>
        </w:tc>
      </w:tr>
      <w:tr>
        <w:tc>
          <w:tcPr>
            <w:tcW w:type="dxa" w:w="3331"/>
            <w:vAlign w:val="center"/>
          </w:tcPr>
          <w:p>
            <w:r>
              <w:t>governing_law</w:t>
            </w:r>
          </w:p>
        </w:tc>
        <w:tc>
          <w:tcPr>
            <w:tcW w:type="dxa" w:w="3331"/>
            <w:vAlign w:val="center"/>
          </w:tcPr>
          <w:p>
            <w:r>
              <w:t>Laws of India, subject to mandatory law</w:t>
            </w:r>
          </w:p>
        </w:tc>
        <w:tc>
          <w:tcPr>
            <w:tcW w:type="dxa" w:w="3331"/>
            <w:vAlign w:val="center"/>
          </w:tcPr>
          <w:p>
            <w:r>
              <w:t>{{GOVERNING_LAW}}</w:t>
            </w:r>
          </w:p>
        </w:tc>
      </w:tr>
      <w:tr>
        <w:tc>
          <w:tcPr>
            <w:tcW w:type="dxa" w:w="3331"/>
            <w:vAlign w:val="center"/>
          </w:tcPr>
          <w:p>
            <w:r>
              <w:t>court_jurisdiction</w:t>
            </w:r>
          </w:p>
        </w:tc>
        <w:tc>
          <w:tcPr>
            <w:tcW w:type="dxa" w:w="3331"/>
            <w:vAlign w:val="center"/>
          </w:tcPr>
          <w:p>
            <w:r>
              <w:t>Competent court location; confirm jurisdictional nexus</w:t>
            </w:r>
          </w:p>
        </w:tc>
        <w:tc>
          <w:tcPr>
            <w:tcW w:type="dxa" w:w="3331"/>
            <w:vAlign w:val="center"/>
          </w:tcPr>
          <w:p>
            <w:r>
              <w:t>{{COURT_JURISDICTION}}</w:t>
            </w:r>
          </w:p>
        </w:tc>
      </w:tr>
      <w:tr>
        <w:tc>
          <w:tcPr>
            <w:tcW w:type="dxa" w:w="3331"/>
            <w:vAlign w:val="center"/>
          </w:tcPr>
          <w:p>
            <w:r>
              <w:t>dispute_mechanism</w:t>
            </w:r>
          </w:p>
        </w:tc>
        <w:tc>
          <w:tcPr>
            <w:tcW w:type="dxa" w:w="3331"/>
            <w:vAlign w:val="center"/>
          </w:tcPr>
          <w:p>
            <w:r>
              <w:t>Negotiation/mediation/arbitration/courts</w:t>
            </w:r>
          </w:p>
        </w:tc>
        <w:tc>
          <w:tcPr>
            <w:tcW w:type="dxa" w:w="3331"/>
            <w:vAlign w:val="center"/>
          </w:tcPr>
          <w:p>
            <w:r>
              <w:t>{{DISPUTE_MECHANISM}}</w:t>
            </w:r>
          </w:p>
        </w:tc>
      </w:tr>
      <w:tr>
        <w:tc>
          <w:tcPr>
            <w:tcW w:type="dxa" w:w="3331"/>
            <w:vAlign w:val="center"/>
          </w:tcPr>
          <w:p>
            <w:r>
              <w:t>arbitration_seat</w:t>
            </w:r>
          </w:p>
        </w:tc>
        <w:tc>
          <w:tcPr>
            <w:tcW w:type="dxa" w:w="3331"/>
            <w:vAlign w:val="center"/>
          </w:tcPr>
          <w:p>
            <w:r>
              <w:t>If arbitration selected, juridical seat</w:t>
            </w:r>
          </w:p>
        </w:tc>
        <w:tc>
          <w:tcPr>
            <w:tcW w:type="dxa" w:w="3331"/>
            <w:vAlign w:val="center"/>
          </w:tcPr>
          <w:p>
            <w:r>
              <w:t>{{ARBITRATION_SEAT}}</w:t>
            </w:r>
          </w:p>
        </w:tc>
      </w:tr>
      <w:tr>
        <w:tc>
          <w:tcPr>
            <w:tcW w:type="dxa" w:w="3331"/>
            <w:vAlign w:val="center"/>
          </w:tcPr>
          <w:p>
            <w:r>
              <w:t>notice_email_a</w:t>
            </w:r>
          </w:p>
        </w:tc>
        <w:tc>
          <w:tcPr>
            <w:tcW w:type="dxa" w:w="3331"/>
            <w:vAlign w:val="center"/>
          </w:tcPr>
          <w:p>
            <w:r>
              <w:t>Party A notice email</w:t>
            </w:r>
          </w:p>
        </w:tc>
        <w:tc>
          <w:tcPr>
            <w:tcW w:type="dxa" w:w="3331"/>
            <w:vAlign w:val="center"/>
          </w:tcPr>
          <w:p>
            <w:r>
              <w:t>{{NOTICE_EMAIL_A}}</w:t>
            </w:r>
          </w:p>
        </w:tc>
      </w:tr>
      <w:tr>
        <w:tc>
          <w:tcPr>
            <w:tcW w:type="dxa" w:w="3331"/>
            <w:vAlign w:val="center"/>
          </w:tcPr>
          <w:p>
            <w:r>
              <w:t>notice_email_b</w:t>
            </w:r>
          </w:p>
        </w:tc>
        <w:tc>
          <w:tcPr>
            <w:tcW w:type="dxa" w:w="3331"/>
            <w:vAlign w:val="center"/>
          </w:tcPr>
          <w:p>
            <w:r>
              <w:t>Party B notice email</w:t>
            </w:r>
          </w:p>
        </w:tc>
        <w:tc>
          <w:tcPr>
            <w:tcW w:type="dxa" w:w="3331"/>
            <w:vAlign w:val="center"/>
          </w:tcPr>
          <w:p>
            <w:r>
              <w:t>{{NOTICE_EMAIL_B}}</w:t>
            </w:r>
          </w:p>
        </w:tc>
      </w:tr>
      <w:tr>
        <w:tc>
          <w:tcPr>
            <w:tcW w:type="dxa" w:w="3331"/>
            <w:vAlign w:val="center"/>
          </w:tcPr>
          <w:p>
            <w:r>
              <w:t>commercial_value_inr</w:t>
            </w:r>
          </w:p>
        </w:tc>
        <w:tc>
          <w:tcPr>
            <w:tcW w:type="dxa" w:w="3331"/>
            <w:vAlign w:val="center"/>
          </w:tcPr>
          <w:p>
            <w:r>
              <w:t>Contract value or fee in INR, if applicable</w:t>
            </w:r>
          </w:p>
        </w:tc>
        <w:tc>
          <w:tcPr>
            <w:tcW w:type="dxa" w:w="3331"/>
            <w:vAlign w:val="center"/>
          </w:tcPr>
          <w:p>
            <w:r>
              <w:t>{{COMMERCIAL_VALUE_INR}}</w:t>
            </w:r>
          </w:p>
        </w:tc>
      </w:tr>
      <w:tr>
        <w:tc>
          <w:tcPr>
            <w:tcW w:type="dxa" w:w="3331"/>
            <w:vAlign w:val="center"/>
          </w:tcPr>
          <w:p>
            <w:r>
              <w:t>gst_treatment</w:t>
            </w:r>
          </w:p>
        </w:tc>
        <w:tc>
          <w:tcPr>
            <w:tcW w:type="dxa" w:w="3331"/>
            <w:vAlign w:val="center"/>
          </w:tcPr>
          <w:p>
            <w:r>
              <w:t>GST rate/treatment to be confirmed by tax adviser</w:t>
            </w:r>
          </w:p>
        </w:tc>
        <w:tc>
          <w:tcPr>
            <w:tcW w:type="dxa" w:w="3331"/>
            <w:vAlign w:val="center"/>
          </w:tcPr>
          <w:p>
            <w:r>
              <w:t>{{GST_TREATMENT}}</w:t>
            </w:r>
          </w:p>
        </w:tc>
      </w:tr>
      <w:tr>
        <w:tc>
          <w:tcPr>
            <w:tcW w:type="dxa" w:w="3331"/>
            <w:vAlign w:val="center"/>
          </w:tcPr>
          <w:p>
            <w:r>
              <w:t>tds_treatment</w:t>
            </w:r>
          </w:p>
        </w:tc>
        <w:tc>
          <w:tcPr>
            <w:tcW w:type="dxa" w:w="3331"/>
            <w:vAlign w:val="center"/>
          </w:tcPr>
          <w:p>
            <w:r>
              <w:t>Applicable withholding/TDS treatment to be confirmed</w:t>
            </w:r>
          </w:p>
        </w:tc>
        <w:tc>
          <w:tcPr>
            <w:tcW w:type="dxa" w:w="3331"/>
            <w:vAlign w:val="center"/>
          </w:tcPr>
          <w:p>
            <w:r>
              <w:t>{{TDS_TREATMENT}}</w:t>
            </w:r>
          </w:p>
        </w:tc>
      </w:tr>
      <w:tr>
        <w:tc>
          <w:tcPr>
            <w:tcW w:type="dxa" w:w="3331"/>
            <w:vAlign w:val="center"/>
          </w:tcPr>
          <w:p>
            <w:r>
              <w:t>term_and_renewal</w:t>
            </w:r>
          </w:p>
        </w:tc>
        <w:tc>
          <w:tcPr>
            <w:tcW w:type="dxa" w:w="3331"/>
            <w:vAlign w:val="center"/>
          </w:tcPr>
          <w:p>
            <w:r>
              <w:t>Initial term and renewal</w:t>
            </w:r>
          </w:p>
        </w:tc>
        <w:tc>
          <w:tcPr>
            <w:tcW w:type="dxa" w:w="3331"/>
            <w:vAlign w:val="center"/>
          </w:tcPr>
          <w:p>
            <w:r>
              <w:t>{{TERM_AND_RENEWAL}}</w:t>
            </w:r>
          </w:p>
        </w:tc>
      </w:tr>
      <w:tr>
        <w:tc>
          <w:tcPr>
            <w:tcW w:type="dxa" w:w="3331"/>
            <w:vAlign w:val="center"/>
          </w:tcPr>
          <w:p>
            <w:r>
              <w:t>liability_cap</w:t>
            </w:r>
          </w:p>
        </w:tc>
        <w:tc>
          <w:tcPr>
            <w:tcW w:type="dxa" w:w="3331"/>
            <w:vAlign w:val="center"/>
          </w:tcPr>
          <w:p>
            <w:r>
              <w:t>Agreed cap and carve-outs</w:t>
            </w:r>
          </w:p>
        </w:tc>
        <w:tc>
          <w:tcPr>
            <w:tcW w:type="dxa" w:w="3331"/>
            <w:vAlign w:val="center"/>
          </w:tcPr>
          <w:p>
            <w:r>
              <w:t>{{LIABILITY_CAP}}</w:t>
            </w:r>
          </w:p>
        </w:tc>
      </w:tr>
      <w:tr>
        <w:tc>
          <w:tcPr>
            <w:tcW w:type="dxa" w:w="3331"/>
            <w:vAlign w:val="center"/>
          </w:tcPr>
          <w:p>
            <w:r>
              <w:t>insurance</w:t>
            </w:r>
          </w:p>
        </w:tc>
        <w:tc>
          <w:tcPr>
            <w:tcW w:type="dxa" w:w="3331"/>
            <w:vAlign w:val="center"/>
          </w:tcPr>
          <w:p>
            <w:r>
              <w:t>Required insurance</w:t>
            </w:r>
          </w:p>
        </w:tc>
        <w:tc>
          <w:tcPr>
            <w:tcW w:type="dxa" w:w="3331"/>
            <w:vAlign w:val="center"/>
          </w:tcPr>
          <w:p>
            <w:r>
              <w:t>{{INSURANCE}}</w:t>
            </w:r>
          </w:p>
        </w:tc>
      </w:tr>
      <w:tr>
        <w:tc>
          <w:tcPr>
            <w:tcW w:type="dxa" w:w="3331"/>
            <w:vAlign w:val="center"/>
          </w:tcPr>
          <w:p>
            <w:r>
              <w:t>authorised_signatories</w:t>
            </w:r>
          </w:p>
        </w:tc>
        <w:tc>
          <w:tcPr>
            <w:tcW w:type="dxa" w:w="3331"/>
            <w:vAlign w:val="center"/>
          </w:tcPr>
          <w:p>
            <w:r>
              <w:t>Names, titles and authority</w:t>
            </w:r>
          </w:p>
        </w:tc>
        <w:tc>
          <w:tcPr>
            <w:tcW w:type="dxa" w:w="3331"/>
            <w:vAlign w:val="center"/>
          </w:tcPr>
          <w:p>
            <w:r>
              <w:t>{{AUTHORISED_SIGNATORIES}}</w:t>
            </w:r>
          </w:p>
        </w:tc>
      </w:tr>
      <w:tr>
        <w:tc>
          <w:tcPr>
            <w:tcW w:type="dxa" w:w="3331"/>
            <w:vAlign w:val="center"/>
          </w:tcPr>
          <w:p>
            <w:r>
              <w:t>underlying_agreement</w:t>
            </w:r>
          </w:p>
        </w:tc>
        <w:tc>
          <w:tcPr>
            <w:tcW w:type="dxa" w:w="3331"/>
            <w:vAlign w:val="center"/>
          </w:tcPr>
          <w:p>
            <w:r>
              <w:t>Underlying agreement</w:t>
            </w:r>
          </w:p>
        </w:tc>
        <w:tc>
          <w:tcPr>
            <w:tcW w:type="dxa" w:w="3331"/>
            <w:vAlign w:val="center"/>
          </w:tcPr>
          <w:p>
            <w:r>
              <w:t>{{UNDERLYING_AGREEMENT}}</w:t>
            </w:r>
          </w:p>
        </w:tc>
      </w:tr>
      <w:tr>
        <w:tc>
          <w:tcPr>
            <w:tcW w:type="dxa" w:w="3331"/>
            <w:vAlign w:val="center"/>
          </w:tcPr>
          <w:p>
            <w:r>
              <w:t>termination_or_transfer_date</w:t>
            </w:r>
          </w:p>
        </w:tc>
        <w:tc>
          <w:tcPr>
            <w:tcW w:type="dxa" w:w="3331"/>
            <w:vAlign w:val="center"/>
          </w:tcPr>
          <w:p>
            <w:r>
              <w:t>Termination or transfer date</w:t>
            </w:r>
          </w:p>
        </w:tc>
        <w:tc>
          <w:tcPr>
            <w:tcW w:type="dxa" w:w="3331"/>
            <w:vAlign w:val="center"/>
          </w:tcPr>
          <w:p>
            <w:r>
              <w:t>{{TERMINATION_OR_TRANSFER_DATE}}</w:t>
            </w:r>
          </w:p>
        </w:tc>
      </w:tr>
      <w:tr>
        <w:tc>
          <w:tcPr>
            <w:tcW w:type="dxa" w:w="3331"/>
            <w:vAlign w:val="center"/>
          </w:tcPr>
          <w:p>
            <w:r>
              <w:t>accrued_obligations</w:t>
            </w:r>
          </w:p>
        </w:tc>
        <w:tc>
          <w:tcPr>
            <w:tcW w:type="dxa" w:w="3331"/>
            <w:vAlign w:val="center"/>
          </w:tcPr>
          <w:p>
            <w:r>
              <w:t>Accrued obligations</w:t>
            </w:r>
          </w:p>
        </w:tc>
        <w:tc>
          <w:tcPr>
            <w:tcW w:type="dxa" w:w="3331"/>
            <w:vAlign w:val="center"/>
          </w:tcPr>
          <w:p>
            <w:r>
              <w:t>{{ACCRUED_OBLIGATIONS}}</w:t>
            </w:r>
          </w:p>
        </w:tc>
      </w:tr>
      <w:tr>
        <w:tc>
          <w:tcPr>
            <w:tcW w:type="dxa" w:w="3331"/>
            <w:vAlign w:val="center"/>
          </w:tcPr>
          <w:p>
            <w:r>
              <w:t>indemnified_risks</w:t>
            </w:r>
          </w:p>
        </w:tc>
        <w:tc>
          <w:tcPr>
            <w:tcW w:type="dxa" w:w="3331"/>
            <w:vAlign w:val="center"/>
          </w:tcPr>
          <w:p>
            <w:r>
              <w:t>Indemnified risks</w:t>
            </w:r>
          </w:p>
        </w:tc>
        <w:tc>
          <w:tcPr>
            <w:tcW w:type="dxa" w:w="3331"/>
            <w:vAlign w:val="center"/>
          </w:tcPr>
          <w:p>
            <w:r>
              <w:t>{{INDEMNIFIED_RISKS}}</w:t>
            </w:r>
          </w:p>
        </w:tc>
      </w:tr>
      <w:tr>
        <w:tc>
          <w:tcPr>
            <w:tcW w:type="dxa" w:w="3331"/>
            <w:vAlign w:val="center"/>
          </w:tcPr>
          <w:p>
            <w:r>
              <w:t>release_scope</w:t>
            </w:r>
          </w:p>
        </w:tc>
        <w:tc>
          <w:tcPr>
            <w:tcW w:type="dxa" w:w="3331"/>
            <w:vAlign w:val="center"/>
          </w:tcPr>
          <w:p>
            <w:r>
              <w:t>Release scope</w:t>
            </w:r>
          </w:p>
        </w:tc>
        <w:tc>
          <w:tcPr>
            <w:tcW w:type="dxa" w:w="3331"/>
            <w:vAlign w:val="center"/>
          </w:tcPr>
          <w:p>
            <w:r>
              <w:t>{{RELEASE_SCOPE}}</w:t>
            </w:r>
          </w:p>
        </w:tc>
      </w:tr>
    </w:tbl>
    <w:p>
      <w:pPr>
        <w:pStyle w:val="Heading1"/>
      </w:pPr>
      <w:r>
        <w:t>SCHEDULE 2 — FEES, TAXES AND PAYMENT</w:t>
      </w:r>
    </w:p>
    <w:p>
      <w:r>
        <w:t>Insert fee table showing description, amount, currency, milestone, invoice trigger, due date, GST treatment, TDS/withholding treatment, reimbursable expenses and bank/payment instructions. Confirm tax treatment with a qualified tax professional.</w:t>
      </w:r>
    </w:p>
    <w:p>
      <w:pPr>
        <w:pStyle w:val="Heading1"/>
      </w:pPr>
      <w:r>
        <w:t>SCHEDULE 3 — TRANSACTION-SPECIFIC TERMS</w:t>
      </w:r>
    </w:p>
    <w:p>
      <w:pPr>
        <w:pStyle w:val="ListBullet"/>
      </w:pPr>
      <w:r>
        <w:t>Covered losses and persons: {[INSERT AGREED DETAILS OR MARK NOT APPLICABLE]}</w:t>
      </w:r>
    </w:p>
    <w:p>
      <w:pPr>
        <w:pStyle w:val="ListBullet"/>
      </w:pPr>
      <w:r>
        <w:t>Claim notice and defence: {[INSERT AGREED DETAILS OR MARK NOT APPLICABLE]}</w:t>
      </w:r>
    </w:p>
    <w:p>
      <w:pPr>
        <w:pStyle w:val="ListBullet"/>
      </w:pPr>
      <w:r>
        <w:t>Caps and exclusions: {[INSERT AGREED DETAILS OR MARK NOT APPLICABLE]}</w:t>
      </w:r>
    </w:p>
    <w:p>
      <w:pPr>
        <w:pStyle w:val="Heading1"/>
      </w:pPr>
      <w:r>
        <w:t>SCHEDULE 4 — EXECUTION AND SIGNATURES</w:t>
      </w:r>
    </w:p>
    <w:p>
      <w:r>
        <w:t>Place of execution: {{PLACE}}, {{DISTRICT}}, Tamil Nadu</w:t>
        <w:br/>
        <w:t>Date: {{SIGNING_DATE}}</w:t>
        <w:br/>
      </w:r>
    </w:p>
    <w:p>
      <w:r>
        <w:t>For Party A: {{PARTY_A_LEGAL_NAME}}</w:t>
        <w:br/>
        <w:t>Signature: ____________________</w:t>
        <w:br/>
        <w:t>Name: {{PARTY_A_SIGNATORY}}</w:t>
        <w:br/>
        <w:t>Designation: {{PARTY_A_DESIGNATION}}</w:t>
        <w:br/>
        <w:t>Authority/Board resolution reference: {{AUTHORITY_REFERENCE}}</w:t>
      </w:r>
    </w:p>
    <w:p>
      <w:r>
        <w:t>For Party B: {{PARTY_B_LEGAL_NAME}}</w:t>
        <w:br/>
        <w:t>Signature: ____________________</w:t>
        <w:br/>
        <w:t>Name: {{PARTY_B_SIGNATORY}}</w:t>
        <w:br/>
        <w:t>Designation: {{PARTY_B_DESIGNATION}}</w:t>
        <w:br/>
        <w:t>Authority/Board resolution reference: {{AUTHORITY_REFERENCE_B}}</w:t>
      </w:r>
    </w:p>
    <w:p>
      <w:r>
        <w:t>Witness 1 (if required): Name/address/signature ____________________</w:t>
        <w:br/>
        <w:t>Witness 2 (if required): Name/address/signature ____________________</w:t>
      </w:r>
    </w:p>
    <w:p>
      <w:pPr>
        <w:pStyle w:val="Heading1"/>
      </w:pPr>
      <w:r>
        <w:t>TAMIL NADU EXECUTION CHECKLIST — REMOVE BEFORE SIGNING</w:t>
      </w:r>
    </w:p>
    <w:p>
      <w:pPr>
        <w:pStyle w:val="ListBullet"/>
      </w:pPr>
      <w:r>
        <w:t>Identify the exact legal nature of the instrument; determine stamp duty under the Indian Stamp Act, 1899 as applicable in Tamil Nadu, including amendments and current Schedule I entries. No flat rate is assumed.</w:t>
      </w:r>
    </w:p>
    <w:p>
      <w:pPr>
        <w:pStyle w:val="ListBullet"/>
      </w:pPr>
      <w:r>
        <w:t>Confirm the current accepted stamping route (e-stamping, franking or non-judicial stamp paper) and timing with Tamil Nadu counsel/authority. Do not rely on an old rate chart.</w:t>
      </w:r>
    </w:p>
    <w:p>
      <w:pPr>
        <w:pStyle w:val="ListBullet"/>
      </w:pPr>
      <w:r>
        <w:t>Check compulsory registration under the Registration Act, 1908 and Tamil Nadu amendments/rules. Property-related instruments require separate scrutiny; not every commercial agreement is registrable.</w:t>
      </w:r>
    </w:p>
    <w:p>
      <w:pPr>
        <w:pStyle w:val="ListBullet"/>
      </w:pPr>
      <w:r>
        <w:t>For immovable property, lease, licence, mortgage, security or transfer rights, obtain specialist property and registration advice before execution.</w:t>
      </w:r>
    </w:p>
    <w:p>
      <w:pPr>
        <w:pStyle w:val="ListBullet"/>
      </w:pPr>
      <w:r>
        <w:t>Confirm district/place of execution, competent jurisdiction and a genuine jurisdictional connection; do not select a court merely by preference.</w:t>
      </w:r>
    </w:p>
    <w:p>
      <w:pPr>
        <w:pStyle w:val="ListBullet"/>
      </w:pPr>
      <w:r>
        <w:t>If arbitration is selected, expressly state juridical seat, venue, language, tribunal size and appointment process; assess enforceability under the Arbitration and Conciliation Act, 1996.</w:t>
      </w:r>
    </w:p>
    <w:p>
      <w:pPr>
        <w:pStyle w:val="ListBullet"/>
      </w:pPr>
      <w:r>
        <w:t>Check entity authority, board/partner approvals, signatory power, GST, TDS, labour, social security, sector licences, foreign exchange and competition rules as relevant.</w:t>
      </w:r>
    </w:p>
    <w:p>
      <w:pPr>
        <w:pStyle w:val="ListBullet"/>
      </w:pPr>
      <w:r>
        <w:t>Review privacy/data provisions against the laws and commencement status applicable on the signing date.</w:t>
      </w:r>
    </w:p>
    <w:p>
      <w:pPr>
        <w:pStyle w:val="ListBullet"/>
      </w:pPr>
      <w:r>
        <w:t>Complete all placeholders, delete alternatives, initial agreed schedules where appropriate and obtain transaction-specific Indian advocate review.</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transaction-specific advocate review • Tamil Nadu execution checks apply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CLAUSECITE | TAMIL NADU B2B LEGAL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