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A415E"/>
          <w:sz w:val="60"/>
        </w:rPr>
        <w:t>BEYOND SALES</w:t>
      </w:r>
    </w:p>
    <w:p>
      <w:pPr>
        <w:jc w:val="center"/>
      </w:pPr>
      <w:r>
        <w:rPr>
          <w:i/>
          <w:color w:val="236991"/>
          <w:sz w:val="34"/>
        </w:rPr>
        <w:t>The Retail Profitability Investigation</w:t>
      </w:r>
    </w:p>
    <w:p>
      <w:pPr>
        <w:spacing w:before="320"/>
        <w:jc w:val="center"/>
      </w:pPr>
      <w:r>
        <w:rPr>
          <w:b/>
          <w:sz w:val="22"/>
        </w:rPr>
        <w:t>WEEK 3 ASSIGNMENT</w:t>
      </w:r>
    </w:p>
    <w:p>
      <w:pPr>
        <w:jc w:val="center"/>
      </w:pPr>
      <w:r>
        <w:t>Interactive Data Storytelling Plan | Tableau</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rPr>
                <w:b/>
              </w:rPr>
              <w:t>Project</w:t>
            </w:r>
          </w:p>
        </w:tc>
        <w:tc>
          <w:tcPr>
            <w:tcW w:type="dxa" w:w="5112"/>
          </w:tcPr>
          <w:p>
            <w:r>
              <w:t>Superstore Retail Sales and Profitability</w:t>
            </w:r>
          </w:p>
        </w:tc>
      </w:tr>
      <w:tr>
        <w:trPr>
          <w:cantSplit/>
        </w:trPr>
        <w:tc>
          <w:tcPr>
            <w:tcW w:type="dxa" w:w="5112"/>
          </w:tcPr>
          <w:p>
            <w:r>
              <w:rPr>
                <w:b/>
              </w:rPr>
              <w:t>Primary audience</w:t>
            </w:r>
          </w:p>
        </w:tc>
        <w:tc>
          <w:tcPr>
            <w:tcW w:type="dxa" w:w="5112"/>
          </w:tcPr>
          <w:p>
            <w:r>
              <w:t>Retail managers and business decision-makers</w:t>
            </w:r>
          </w:p>
        </w:tc>
      </w:tr>
      <w:tr>
        <w:trPr>
          <w:cantSplit/>
        </w:trPr>
        <w:tc>
          <w:tcPr>
            <w:tcW w:type="dxa" w:w="5112"/>
          </w:tcPr>
          <w:p>
            <w:r>
              <w:rPr>
                <w:b/>
              </w:rPr>
              <w:t>Central question</w:t>
            </w:r>
          </w:p>
        </w:tc>
        <w:tc>
          <w:tcPr>
            <w:tcW w:type="dxa" w:w="5112"/>
          </w:tcPr>
          <w:p>
            <w:r>
              <w:t>How can the business improve profitable growth, not just sales volume?</w:t>
            </w:r>
          </w:p>
        </w:tc>
      </w:tr>
    </w:tbl>
    <w:p>
      <w:r>
        <w:br w:type="page"/>
      </w:r>
    </w:p>
    <w:p>
      <w:pPr>
        <w:pStyle w:val="Heading1"/>
      </w:pPr>
      <w:r>
        <w:t>1. Project Overview</w:t>
      </w:r>
    </w:p>
    <w:p>
      <w:r>
        <w:t>This document describes an interactive Tableau data story built from the Superstore retail dataset. Titled “Beyond Sales: The Retail Profitability Investigation,” it moves from an overall performance overview to sales and profit trends, product categories, discounts, regional results and customer segments. The final point consolidates the main findings and recommendations in text, while the preceding visualisations provide the supporting evidence.</w:t>
      </w:r>
    </w:p>
    <w:p>
      <w:r>
        <w:t>The narrative moves from broad context to diagnostic questions and then to possible business actions. Each point should connect a visible pattern to a business question. Numerical claims in this plan are provisional descriptions of the current workbook view and should be checked against the displayed tooltips before submission; a pattern in a chart is not, by itself, proof of cause.</w:t>
      </w:r>
    </w:p>
    <w:p>
      <w:pPr>
        <w:pStyle w:val="Heading1"/>
      </w:pPr>
      <w:r>
        <w:t>2. Data Story Concept</w:t>
      </w:r>
    </w:p>
    <w:p>
      <w:pPr>
        <w:pStyle w:val="Heading2"/>
      </w:pPr>
      <w:r>
        <w:t>Central narrative and key message</w:t>
      </w:r>
    </w:p>
    <w:p>
      <w:r>
        <w:t>Strong sales do not automatically mean strong profitability. Management needs to understand how performance changes over time and how it differs by product, discount level, region and customer segment. The key message is to focus on profitable growth, not sales volume alone: compare sales and profit together, investigate loss-making sub-categories, and explore differences across regions and customer segments.</w:t>
      </w:r>
    </w:p>
    <w:p>
      <w:pPr>
        <w:pStyle w:val="Heading2"/>
      </w:pPr>
      <w:r>
        <w:t>Target audience</w:t>
      </w:r>
    </w:p>
    <w:p>
      <w:pPr>
        <w:pStyle w:val="ListBullet"/>
      </w:pPr>
      <w:r>
        <w:t>Retail managers reviewing overall business performance.</w:t>
      </w:r>
    </w:p>
    <w:p>
      <w:pPr>
        <w:pStyle w:val="ListBullet"/>
      </w:pPr>
      <w:r>
        <w:t>Category and product managers investigating product-level results.</w:t>
      </w:r>
    </w:p>
    <w:p>
      <w:pPr>
        <w:pStyle w:val="ListBullet"/>
      </w:pPr>
      <w:r>
        <w:t>Regional managers comparing geographic performance.</w:t>
      </w:r>
    </w:p>
    <w:p>
      <w:pPr>
        <w:pStyle w:val="ListBullet"/>
      </w:pPr>
      <w:r>
        <w:t>Business analysts presenting findings and supporting follow-up questions.</w:t>
      </w:r>
    </w:p>
    <w:p>
      <w:pPr>
        <w:pStyle w:val="Heading1"/>
      </w:pPr>
      <w:r>
        <w:t>3. Key Questions</w:t>
      </w:r>
    </w:p>
    <w:p>
      <w:pPr>
        <w:pStyle w:val="ListNumber"/>
      </w:pPr>
      <w:r>
        <w:t>What are the overall sales, profit, order volume and average discount?</w:t>
      </w:r>
    </w:p>
    <w:p>
      <w:pPr>
        <w:pStyle w:val="ListNumber"/>
      </w:pPr>
      <w:r>
        <w:t>How do sales and profit vary over time, and where are the notable peaks or dips?</w:t>
      </w:r>
    </w:p>
    <w:p>
      <w:pPr>
        <w:pStyle w:val="ListNumber"/>
      </w:pPr>
      <w:r>
        <w:t>Which categories and sub-categories contribute most to sales, and which show negative profit?</w:t>
      </w:r>
    </w:p>
    <w:p>
      <w:pPr>
        <w:pStyle w:val="ListNumber"/>
      </w:pPr>
      <w:r>
        <w:t>How does average discount relate to profit, and which observations deserve closer review?</w:t>
      </w:r>
    </w:p>
    <w:p>
      <w:pPr>
        <w:pStyle w:val="ListNumber"/>
      </w:pPr>
      <w:r>
        <w:t>How do sales and profitability vary across regions and states?</w:t>
      </w:r>
    </w:p>
    <w:p>
      <w:pPr>
        <w:pStyle w:val="ListNumber"/>
      </w:pPr>
      <w:r>
        <w:t>Do customer segments contribute differently to performance?</w:t>
      </w:r>
    </w:p>
    <w:p>
      <w:pPr>
        <w:pStyle w:val="ListNumber"/>
      </w:pPr>
      <w:r>
        <w:t>What practical areas should management investigate next?</w:t>
      </w:r>
    </w:p>
    <w:p>
      <w:pPr>
        <w:pStyle w:val="Heading1"/>
      </w:pPr>
      <w:r>
        <w:t>4. Visual Narrative and Storyboard</w:t>
      </w:r>
    </w:p>
    <w:p>
      <w:r>
        <w:t>Each story point introduces a question and adds a layer of context. Captions guide the viewer before they interpret the visualization.</w:t>
      </w:r>
    </w:p>
    <w:tbl>
      <w:tblPr>
        <w:tblStyle w:val="TableGrid"/>
        <w:tblW w:type="auto" w:w="0"/>
        <w:tblLook w:firstColumn="1" w:firstRow="1" w:lastColumn="0" w:lastRow="0" w:noHBand="0" w:noVBand="1" w:val="04A0"/>
      </w:tblPr>
      <w:tblGrid>
        <w:gridCol w:w="2556"/>
        <w:gridCol w:w="2556"/>
        <w:gridCol w:w="2556"/>
        <w:gridCol w:w="2556"/>
      </w:tblGrid>
      <w:tr>
        <w:trPr>
          <w:cantSplit/>
        </w:trPr>
        <w:tc>
          <w:tcPr>
            <w:tcW w:type="dxa" w:w="1800"/>
            <w:shd w:fill="1A415E"/>
          </w:tcPr>
          <w:p>
            <w:r>
              <w:rPr>
                <w:b/>
                <w:color w:val="FFFFFF"/>
                <w:sz w:val="16"/>
              </w:rPr>
              <w:t>Story point</w:t>
            </w:r>
          </w:p>
        </w:tc>
        <w:tc>
          <w:tcPr>
            <w:tcW w:type="dxa" w:w="2880"/>
            <w:shd w:fill="1A415E"/>
          </w:tcPr>
          <w:p>
            <w:r>
              <w:rPr>
                <w:b/>
                <w:color w:val="FFFFFF"/>
                <w:sz w:val="16"/>
              </w:rPr>
              <w:t>Visualization</w:t>
            </w:r>
          </w:p>
        </w:tc>
        <w:tc>
          <w:tcPr>
            <w:tcW w:type="dxa" w:w="2880"/>
            <w:shd w:fill="1A415E"/>
          </w:tcPr>
          <w:p>
            <w:r>
              <w:rPr>
                <w:b/>
                <w:color w:val="FFFFFF"/>
                <w:sz w:val="16"/>
              </w:rPr>
              <w:t>Narrative purpose</w:t>
            </w:r>
          </w:p>
        </w:tc>
        <w:tc>
          <w:tcPr>
            <w:tcW w:type="dxa" w:w="2880"/>
            <w:shd w:fill="1A415E"/>
          </w:tcPr>
          <w:p>
            <w:r>
              <w:rPr>
                <w:b/>
                <w:color w:val="FFFFFF"/>
                <w:sz w:val="16"/>
              </w:rPr>
              <w:t>Viewer interaction / reading guide</w:t>
            </w:r>
          </w:p>
        </w:tc>
      </w:tr>
      <w:tr>
        <w:trPr>
          <w:cantSplit/>
        </w:trPr>
        <w:tc>
          <w:tcPr>
            <w:tcW w:type="dxa" w:w="1800"/>
          </w:tcPr>
          <w:p>
            <w:pPr>
              <w:spacing w:after="20"/>
            </w:pPr>
            <w:r>
              <w:rPr>
                <w:sz w:val="15"/>
              </w:rPr>
              <w:t>1. Retail Performance Overview</w:t>
            </w:r>
          </w:p>
        </w:tc>
        <w:tc>
          <w:tcPr>
            <w:tcW w:type="dxa" w:w="2880"/>
          </w:tcPr>
          <w:p>
            <w:pPr>
              <w:spacing w:after="20"/>
            </w:pPr>
            <w:r>
              <w:rPr>
                <w:sz w:val="15"/>
              </w:rPr>
              <w:t>KPI cards and dashboard views for sales, profit, orders, average discount, category, region, discount/profit, sub-category and state performance.</w:t>
            </w:r>
          </w:p>
        </w:tc>
        <w:tc>
          <w:tcPr>
            <w:tcW w:type="dxa" w:w="2880"/>
          </w:tcPr>
          <w:p>
            <w:pPr>
              <w:spacing w:after="20"/>
            </w:pPr>
            <w:r>
              <w:rPr>
                <w:sz w:val="15"/>
              </w:rPr>
              <w:t>Establishes the baseline and asks whether sales performance translates into healthy profit.</w:t>
            </w:r>
          </w:p>
        </w:tc>
        <w:tc>
          <w:tcPr>
            <w:tcW w:type="dxa" w:w="2880"/>
          </w:tcPr>
          <w:p>
            <w:pPr>
              <w:spacing w:after="20"/>
            </w:pPr>
            <w:r>
              <w:rPr>
                <w:sz w:val="15"/>
              </w:rPr>
              <w:t>Scan KPIs, compare categories and regions, and use filters to narrow the view.</w:t>
            </w:r>
          </w:p>
        </w:tc>
      </w:tr>
      <w:tr>
        <w:trPr>
          <w:cantSplit/>
        </w:trPr>
        <w:tc>
          <w:tcPr>
            <w:tcW w:type="dxa" w:w="1800"/>
          </w:tcPr>
          <w:p>
            <w:pPr>
              <w:spacing w:after="20"/>
            </w:pPr>
            <w:r>
              <w:rPr>
                <w:sz w:val="15"/>
              </w:rPr>
              <w:t>2. Exploring Sales Trends Over Time</w:t>
            </w:r>
          </w:p>
        </w:tc>
        <w:tc>
          <w:tcPr>
            <w:tcW w:type="dxa" w:w="2880"/>
          </w:tcPr>
          <w:p>
            <w:pPr>
              <w:spacing w:after="20"/>
            </w:pPr>
            <w:r>
              <w:rPr>
                <w:sz w:val="15"/>
              </w:rPr>
              <w:t>Monthly sales line chart, separated by year.</w:t>
            </w:r>
          </w:p>
        </w:tc>
        <w:tc>
          <w:tcPr>
            <w:tcW w:type="dxa" w:w="2880"/>
          </w:tcPr>
          <w:p>
            <w:pPr>
              <w:spacing w:after="20"/>
            </w:pPr>
            <w:r>
              <w:rPr>
                <w:sz w:val="15"/>
              </w:rPr>
              <w:t>Shows changes in sales across months and years; prompts viewers to look for peaks, dips and possible seasonal patterns.</w:t>
            </w:r>
          </w:p>
        </w:tc>
        <w:tc>
          <w:tcPr>
            <w:tcW w:type="dxa" w:w="2880"/>
          </w:tcPr>
          <w:p>
            <w:pPr>
              <w:spacing w:after="20"/>
            </w:pPr>
            <w:r>
              <w:rPr>
                <w:sz w:val="15"/>
              </w:rPr>
              <w:t>Compare the lines and use tooltips for exact values where available.</w:t>
            </w:r>
          </w:p>
        </w:tc>
      </w:tr>
      <w:tr>
        <w:trPr>
          <w:cantSplit/>
        </w:trPr>
        <w:tc>
          <w:tcPr>
            <w:tcW w:type="dxa" w:w="1800"/>
          </w:tcPr>
          <w:p>
            <w:pPr>
              <w:spacing w:after="20"/>
            </w:pPr>
            <w:r>
              <w:rPr>
                <w:sz w:val="15"/>
              </w:rPr>
              <w:t>3. Profitability Trends: Beyond Sales</w:t>
            </w:r>
          </w:p>
        </w:tc>
        <w:tc>
          <w:tcPr>
            <w:tcW w:type="dxa" w:w="2880"/>
          </w:tcPr>
          <w:p>
            <w:pPr>
              <w:spacing w:after="20"/>
            </w:pPr>
            <w:r>
              <w:rPr>
                <w:sz w:val="15"/>
              </w:rPr>
              <w:t>Monthly profit trend line chart, with years distinguished by colour.</w:t>
            </w:r>
          </w:p>
        </w:tc>
        <w:tc>
          <w:tcPr>
            <w:tcW w:type="dxa" w:w="2880"/>
          </w:tcPr>
          <w:p>
            <w:pPr>
              <w:spacing w:after="20"/>
            </w:pPr>
            <w:r>
              <w:rPr>
                <w:sz w:val="15"/>
              </w:rPr>
              <w:t>Adds a profitability perspective. Sales growth should be considered alongside profit fluctuations.</w:t>
            </w:r>
          </w:p>
        </w:tc>
        <w:tc>
          <w:tcPr>
            <w:tcW w:type="dxa" w:w="2880"/>
          </w:tcPr>
          <w:p>
            <w:pPr>
              <w:spacing w:after="20"/>
            </w:pPr>
            <w:r>
              <w:rPr>
                <w:sz w:val="15"/>
              </w:rPr>
              <w:t>Compare profit trends with sales trends and investigate unusual spikes or dips.</w:t>
            </w:r>
          </w:p>
        </w:tc>
      </w:tr>
      <w:tr>
        <w:trPr>
          <w:cantSplit/>
        </w:trPr>
        <w:tc>
          <w:tcPr>
            <w:tcW w:type="dxa" w:w="1800"/>
          </w:tcPr>
          <w:p>
            <w:pPr>
              <w:spacing w:after="20"/>
            </w:pPr>
            <w:r>
              <w:rPr>
                <w:sz w:val="15"/>
              </w:rPr>
              <w:t>4. Product Performance: Where Does Profit Come From?</w:t>
            </w:r>
          </w:p>
        </w:tc>
        <w:tc>
          <w:tcPr>
            <w:tcW w:type="dxa" w:w="2880"/>
          </w:tcPr>
          <w:p>
            <w:r>
              <w:t>Horizontal bar chart comparing sales across product categories, with profit encoded by colour.</w:t>
            </w:r>
          </w:p>
        </w:tc>
        <w:tc>
          <w:tcPr>
            <w:tcW w:type="dxa" w:w="2880"/>
          </w:tcPr>
          <w:p>
            <w:pPr>
              <w:spacing w:after="20"/>
            </w:pPr>
            <w:r>
              <w:rPr>
                <w:sz w:val="15"/>
              </w:rPr>
              <w:t>Identifies categories with the largest sales contribution and sets up a closer look at product-level performance.</w:t>
            </w:r>
          </w:p>
        </w:tc>
        <w:tc>
          <w:tcPr>
            <w:tcW w:type="dxa" w:w="2880"/>
          </w:tcPr>
          <w:p>
            <w:pPr>
              <w:spacing w:after="20"/>
            </w:pPr>
            <w:r>
              <w:rPr>
                <w:sz w:val="15"/>
              </w:rPr>
              <w:t>Select a category or use filters to focus the analysis.</w:t>
            </w:r>
          </w:p>
        </w:tc>
      </w:tr>
      <w:tr>
        <w:trPr>
          <w:cantSplit/>
        </w:trPr>
        <w:tc>
          <w:tcPr>
            <w:tcW w:type="dxa" w:w="1800"/>
          </w:tcPr>
          <w:p>
            <w:pPr>
              <w:spacing w:after="20"/>
            </w:pPr>
            <w:r>
              <w:rPr>
                <w:sz w:val="15"/>
              </w:rPr>
              <w:t>5. Sub-Category Profitability: Finding the Gaps</w:t>
            </w:r>
          </w:p>
        </w:tc>
        <w:tc>
          <w:tcPr>
            <w:tcW w:type="dxa" w:w="2880"/>
          </w:tcPr>
          <w:p>
            <w:r>
              <w:t>Horizontal bar chart of SUM(Profit) by sub-category, with colour distinguishing profit levels.</w:t>
            </w:r>
          </w:p>
        </w:tc>
        <w:tc>
          <w:tcPr>
            <w:tcW w:type="dxa" w:w="2880"/>
          </w:tcPr>
          <w:p>
            <w:r>
              <w:t>Compares profit across sub-categories and identifies negative-profit areas, including Tables and Bookcases.</w:t>
            </w:r>
          </w:p>
        </w:tc>
        <w:tc>
          <w:tcPr>
            <w:tcW w:type="dxa" w:w="2880"/>
          </w:tcPr>
          <w:p>
            <w:r>
              <w:t>Read the profit axis around zero; investigate negative values rather than assuming a cause.</w:t>
            </w:r>
          </w:p>
        </w:tc>
      </w:tr>
      <w:tr>
        <w:trPr>
          <w:cantSplit/>
        </w:trPr>
        <w:tc>
          <w:tcPr>
            <w:tcW w:type="dxa" w:w="1800"/>
          </w:tcPr>
          <w:p>
            <w:pPr>
              <w:spacing w:after="20"/>
            </w:pPr>
            <w:r>
              <w:rPr>
                <w:sz w:val="15"/>
              </w:rPr>
              <w:t>6. Discounts and Profitability: Is There a Trade-Off?</w:t>
            </w:r>
          </w:p>
        </w:tc>
        <w:tc>
          <w:tcPr>
            <w:tcW w:type="dxa" w:w="2880"/>
          </w:tcPr>
          <w:p>
            <w:pPr>
              <w:spacing w:after="20"/>
            </w:pPr>
            <w:r>
              <w:rPr>
                <w:sz w:val="15"/>
              </w:rPr>
              <w:t>Scatter plot of average discount against profit, with category colours and trend lines.</w:t>
            </w:r>
          </w:p>
        </w:tc>
        <w:tc>
          <w:tcPr>
            <w:tcW w:type="dxa" w:w="2880"/>
          </w:tcPr>
          <w:p>
            <w:pPr>
              <w:spacing w:after="20"/>
            </w:pPr>
            <w:r>
              <w:rPr>
                <w:sz w:val="15"/>
              </w:rPr>
              <w:t>Explores whether discount levels are associated with different profit outcomes and highlights observations worth reviewing.</w:t>
            </w:r>
          </w:p>
        </w:tc>
        <w:tc>
          <w:tcPr>
            <w:tcW w:type="dxa" w:w="2880"/>
          </w:tcPr>
          <w:p>
            <w:pPr>
              <w:spacing w:after="20"/>
            </w:pPr>
            <w:r>
              <w:rPr>
                <w:sz w:val="15"/>
              </w:rPr>
              <w:t>Inspect outliers and compare patterns. Association alone does not prove discounts cause losses.</w:t>
            </w:r>
          </w:p>
        </w:tc>
      </w:tr>
      <w:tr>
        <w:trPr>
          <w:cantSplit/>
        </w:trPr>
        <w:tc>
          <w:tcPr>
            <w:tcW w:type="dxa" w:w="1800"/>
          </w:tcPr>
          <w:p>
            <w:pPr>
              <w:spacing w:after="20"/>
            </w:pPr>
            <w:r>
              <w:rPr>
                <w:sz w:val="15"/>
              </w:rPr>
              <w:t>7. Regional Performance: Where Does the Business Stand?</w:t>
            </w:r>
          </w:p>
        </w:tc>
        <w:tc>
          <w:tcPr>
            <w:tcW w:type="dxa" w:w="2880"/>
          </w:tcPr>
          <w:p>
            <w:r>
              <w:t>Horizontal bar chart comparing regional sales, with profit encoded by colour, plus a state-level profitability map.</w:t>
            </w:r>
          </w:p>
        </w:tc>
        <w:tc>
          <w:tcPr>
            <w:tcW w:type="dxa" w:w="2880"/>
          </w:tcPr>
          <w:p>
            <w:pPr>
              <w:spacing w:after="20"/>
            </w:pPr>
            <w:r>
              <w:rPr>
                <w:sz w:val="15"/>
              </w:rPr>
              <w:t>Shows geographic variation and identifies regions or states for closer comparison.</w:t>
            </w:r>
          </w:p>
        </w:tc>
        <w:tc>
          <w:tcPr>
            <w:tcW w:type="dxa" w:w="2880"/>
          </w:tcPr>
          <w:p>
            <w:pPr>
              <w:spacing w:after="20"/>
            </w:pPr>
            <w:r>
              <w:rPr>
                <w:sz w:val="15"/>
              </w:rPr>
              <w:t>Compare region-level results, then inspect the state map for geographic detail.</w:t>
            </w:r>
          </w:p>
        </w:tc>
      </w:tr>
      <w:tr>
        <w:trPr>
          <w:cantSplit/>
        </w:trPr>
        <w:tc>
          <w:tcPr>
            <w:tcW w:type="dxa" w:w="1800"/>
          </w:tcPr>
          <w:p>
            <w:pPr>
              <w:spacing w:after="20"/>
            </w:pPr>
            <w:r>
              <w:rPr>
                <w:sz w:val="15"/>
              </w:rPr>
              <w:t>8. Customer Segments: Who Drives Performance?</w:t>
            </w:r>
          </w:p>
        </w:tc>
        <w:tc>
          <w:tcPr>
            <w:tcW w:type="dxa" w:w="2880"/>
          </w:tcPr>
          <w:p>
            <w:r>
              <w:t>Horizontal bar chart of SUM(Profit) by Consumer, Corporate and Home Office segment.</w:t>
            </w:r>
          </w:p>
        </w:tc>
        <w:tc>
          <w:tcPr>
            <w:tcW w:type="dxa" w:w="2880"/>
          </w:tcPr>
          <w:p>
            <w:r>
              <w:t>Compares the profit contribution of each customer segment using a clearly labelled profit measure.</w:t>
            </w:r>
          </w:p>
        </w:tc>
        <w:tc>
          <w:tcPr>
            <w:tcW w:type="dxa" w:w="2880"/>
          </w:tcPr>
          <w:p>
            <w:r>
              <w:t>Compare the bars and use the profit axis and tooltips to read values.</w:t>
            </w:r>
          </w:p>
        </w:tc>
      </w:tr>
      <w:tr>
        <w:trPr>
          <w:cantSplit/>
        </w:trPr>
        <w:tc>
          <w:tcPr>
            <w:tcW w:type="dxa" w:w="1800"/>
          </w:tcPr>
          <w:p>
            <w:pPr>
              <w:spacing w:after="20"/>
            </w:pPr>
            <w:r>
              <w:rPr>
                <w:sz w:val="15"/>
              </w:rPr>
              <w:t>9. Key Findings and Recommendations</w:t>
            </w:r>
          </w:p>
        </w:tc>
        <w:tc>
          <w:tcPr>
            <w:tcW w:type="dxa" w:w="2880"/>
          </w:tcPr>
          <w:p>
            <w:r>
              <w:t>Text-based closing point summarising findings, recommendations and the final takeaway.</w:t>
            </w:r>
          </w:p>
        </w:tc>
        <w:tc>
          <w:tcPr>
            <w:tcW w:type="dxa" w:w="2880"/>
          </w:tcPr>
          <w:p>
            <w:r>
              <w:t>Brings the evidence together and translates the analysis into practical next steps without adding another dashboard.</w:t>
            </w:r>
          </w:p>
        </w:tc>
        <w:tc>
          <w:tcPr>
            <w:tcW w:type="dxa" w:w="2880"/>
          </w:tcPr>
          <w:p>
            <w:r>
              <w:t>Read the concise findings and recommendations; use earlier visual story points to inspect the supporting evidence.</w:t>
            </w:r>
          </w:p>
        </w:tc>
      </w:tr>
    </w:tbl>
    <w:p>
      <w:r>
        <w:br w:type="page"/>
      </w:r>
    </w:p>
    <w:p>
      <w:pPr>
        <w:pStyle w:val="Heading1"/>
      </w:pPr>
      <w:r>
        <w:t>5. Interactive Design</w:t>
      </w:r>
    </w:p>
    <w:p>
      <w:pPr>
        <w:pStyle w:val="Heading2"/>
      </w:pPr>
      <w:r>
        <w:t>Dashboard filters</w:t>
      </w:r>
    </w:p>
    <w:p>
      <w:r>
        <w:t>The main retail performance dashboard includes Category, Segment and Region filters. These let viewers narrow the dashboard to a chosen part of the business rather than relying only on the all-data view. A Profit colour legend and mark tooltips provide additional context.</w:t>
      </w:r>
    </w:p>
    <w:p>
      <w:pPr>
        <w:pStyle w:val="Heading2"/>
      </w:pPr>
      <w:r>
        <w:t>Dashboard filter action</w:t>
      </w:r>
    </w:p>
    <w:p>
      <w:r>
        <w:t>A filter action named “Explore Retail Performance” was configured on Dashboard 3. The source-sheet selections include category, sub-category, discount-versus-profit and regional analysis views. The action runs on Select, and clearing a selection is set to Show all values. The action was tested by selecting the Technology category bar; the other views changed in response.</w:t>
      </w:r>
    </w:p>
    <w:p>
      <w:pPr>
        <w:pStyle w:val="Heading2"/>
      </w:pPr>
      <w:r>
        <w:t>How interaction supports the story</w:t>
      </w:r>
    </w:p>
    <w:p>
      <w:pPr>
        <w:pStyle w:val="ListBullet"/>
      </w:pPr>
      <w:r>
        <w:t>Moves viewers from a broad overview to a focused question without requiring a separate dashboard for every selection.</w:t>
      </w:r>
    </w:p>
    <w:p>
      <w:pPr>
        <w:pStyle w:val="ListBullet"/>
      </w:pPr>
      <w:r>
        <w:t>Supports comparison: selecting a category lets viewers inspect related sub-category, discount and regional patterns.</w:t>
      </w:r>
    </w:p>
    <w:p>
      <w:pPr>
        <w:pStyle w:val="ListBullet"/>
      </w:pPr>
      <w:r>
        <w:t>Makes the story exploratory while preserving the sequence of story points.</w:t>
      </w:r>
    </w:p>
    <w:p>
      <w:pPr>
        <w:pStyle w:val="ListBullet"/>
      </w:pPr>
      <w:r>
        <w:t>Allows viewers to return to the full-data context by clearing a selection; the action was tested by selecting Technology and checking that related views updated.</w:t>
      </w:r>
    </w:p>
    <w:p>
      <w:pPr>
        <w:pStyle w:val="Heading1"/>
      </w:pPr>
      <w:r>
        <w:t>6. Planned Narrative Flow</w:t>
      </w:r>
    </w:p>
    <w:tbl>
      <w:tblPr>
        <w:tblStyle w:val="LightShading-Accent1"/>
        <w:tblW w:type="auto" w:w="0"/>
        <w:tblLook w:firstColumn="1" w:firstRow="1" w:lastColumn="0" w:lastRow="0" w:noHBand="0" w:noVBand="1" w:val="04A0"/>
      </w:tblPr>
      <w:tblGrid>
        <w:gridCol w:w="10224"/>
      </w:tblGrid>
      <w:tr>
        <w:trPr>
          <w:cantSplit/>
        </w:trPr>
        <w:tc>
          <w:tcPr>
            <w:tcW w:type="dxa" w:w="10224"/>
          </w:tcPr>
          <w:p>
            <w:pPr>
              <w:jc w:val="center"/>
            </w:pPr>
            <w:r>
              <w:rPr>
                <w:b/>
                <w:color w:val="1A415E"/>
              </w:rPr>
              <w:t>OVERALL PERFORMANCE</w:t>
              <w:br/>
              <w:t>↓</w:t>
              <w:br/>
              <w:t>SALES TRENDS OVER TIME</w:t>
              <w:br/>
              <w:t>↓</w:t>
              <w:br/>
              <w:t>PROFIT TRENDS OVER TIME</w:t>
              <w:br/>
              <w:t>↓</w:t>
              <w:br/>
              <w:t>CATEGORY AND SUB-CATEGORY PERFORMANCE</w:t>
              <w:br/>
              <w:t>↓</w:t>
              <w:br/>
              <w:t>DISCOUNT–PROFIT RELATIONSHIP</w:t>
              <w:br/>
              <w:t>↓</w:t>
              <w:br/>
              <w:t>REGIONAL AND STATE PERFORMANCE</w:t>
              <w:br/>
              <w:t>↓</w:t>
              <w:br/>
              <w:t>CUSTOMER SEGMENT COMPARISON</w:t>
              <w:br/>
              <w:t>↓</w:t>
              <w:br/>
              <w:t>KEY FINDINGS → RECOMMENDATIONS</w:t>
            </w:r>
          </w:p>
        </w:tc>
      </w:tr>
    </w:tbl>
    <w:p>
      <w:pPr>
        <w:pStyle w:val="Heading1"/>
      </w:pPr>
      <w:r>
        <w:t>7. Key Findings</w:t>
      </w:r>
    </w:p>
    <w:p>
      <w:pPr>
        <w:pStyle w:val="ListBullet"/>
      </w:pPr>
      <w:r>
        <w:t>The overview displays approximately $2.33 million in sales, $292.30K in profit, 5,111 orders and a 15.5% average discount. These figures establish the baseline for the story and should be interpreted alongside the product, regional and segment-level views.</w:t>
      </w:r>
    </w:p>
    <w:p>
      <w:pPr>
        <w:pStyle w:val="ListBullet"/>
      </w:pPr>
      <w:r>
        <w:t>Technology is the leading category by sales in the current category view. This is a sales ranking, not proof that Technology has the highest profit; compare its profit measure as well before making a profitability claim.</w:t>
      </w:r>
    </w:p>
    <w:p>
      <w:pPr>
        <w:pStyle w:val="ListBullet"/>
      </w:pPr>
      <w:r>
        <w:t>The West region leads the displayed regional sales comparison at approximately $711,000, followed by East at approximately $693,000, Central at approximately $505,000 and South at approximately $392,000. Profit is encoded separately by colour, so the sales ranking should not be treated as a profit ranking.</w:t>
      </w:r>
    </w:p>
    <w:p>
      <w:pPr>
        <w:pStyle w:val="ListBullet"/>
      </w:pPr>
      <w:r>
        <w:t>Tables shows approximately −$17,753 in profit in the current sub-category view. Bookcases also shows a loss of approximately −$3,632 in the reviewed view. These negative values identify where to investigate product mix, pricing, discounting and costs; the chart alone cannot identify which factor caused the losses.</w:t>
      </w:r>
    </w:p>
    <w:p>
      <w:pPr>
        <w:pStyle w:val="ListBullet"/>
      </w:pPr>
      <w:r>
        <w:t>The discount-versus-profit scatter plot shows variation in profit at different discount levels and across categories. Use the mark tooltips to inspect outliers and compare similar products or orders. A negative association, if visible, does not prove that discounting caused a loss: product mix, cost, order size and other factors may also contribute.</w:t>
      </w:r>
    </w:p>
    <w:p>
      <w:pPr>
        <w:pStyle w:val="ListBullet"/>
      </w:pPr>
      <w:r>
        <w:t>The corrected “Profit by Customer Segment” chart shows Consumer contributing approximately $136,371 in profit, followed by Corporate at $94,250 and Home Office at $61,676. The horizontal axis and chart title now identify profit, aligning the displayed measure with the story caption.</w:t>
      </w:r>
    </w:p>
    <w:p>
      <w:pPr>
        <w:pStyle w:val="Heading1"/>
      </w:pPr>
      <w:r>
        <w:t>Evidence and interpretation notes</w:t>
      </w:r>
    </w:p>
    <w:p>
      <w:r>
        <w:t>The key findings use the measures shown in the reviewed Tableau views: Technology leads category sales at approximately $836,000; the regional sales comparison shows West at approximately $711,000; Tables and Bookcases show negative profit of approximately $17,753 and $3,632 respectively; and the corrected segment chart shows profit contributions of approximately $136,371 for Consumer, $94,250 for Corporate and $61,676 for Home Office. These are approximate display values. Captions distinguish observed patterns from possible explanations and avoid claiming causation without further analysis.</w:t>
      </w:r>
    </w:p>
    <w:p>
      <w:pPr>
        <w:pStyle w:val="Heading1"/>
      </w:pPr>
      <w:r>
        <w:t>8. Recommendations</w:t>
      </w:r>
    </w:p>
    <w:p>
      <w:pPr>
        <w:pStyle w:val="ListNumber"/>
      </w:pPr>
      <w:r>
        <w:t>Prioritise a product-level review of Tables (approximately −$17,753 profit) and Bookcases (approximately −$3,632 profit). Compare sales, profit, discount and product-level results before recommending changes to price, discount policy or assortment.</w:t>
      </w:r>
    </w:p>
    <w:p>
      <w:pPr>
        <w:pStyle w:val="ListNumber"/>
      </w:pPr>
      <w:r>
        <w:t>Evaluate sales and profit side by side. For example, Technology leads category sales in the current view, while the sub-category chart identifies losses in Tables and Bookcases; these measures answer different questions and should not be treated as interchangeable.</w:t>
      </w:r>
    </w:p>
    <w:p>
      <w:pPr>
        <w:pStyle w:val="ListNumber"/>
      </w:pPr>
      <w:r>
        <w:t>Use the discount-versus-profit scatter plot to identify high-discount observations and unusually low-profit marks. Investigate those records with tooltips and product-level comparisons; do not set a new discount limit until margins, costs and order context have been checked.</w:t>
      </w:r>
    </w:p>
    <w:p>
      <w:pPr>
        <w:pStyle w:val="ListNumber"/>
      </w:pPr>
      <w:r>
        <w:t>Compare regional and state-level performance to identify where follow-up analysis may be useful.</w:t>
      </w:r>
    </w:p>
    <w:p>
      <w:pPr>
        <w:pStyle w:val="ListNumber"/>
      </w:pPr>
      <w:r>
        <w:t>Monitor monthly sales and profit trends to identify unusual changes and develop questions for further investigation.</w:t>
      </w:r>
    </w:p>
    <w:p>
      <w:pPr>
        <w:pStyle w:val="ListNumber"/>
      </w:pPr>
      <w:r>
        <w:t>Use Category, Segment and Region filters and the dashboard filter action to test comparisons interactively.</w:t>
      </w:r>
    </w:p>
    <w:p>
      <w:pPr>
        <w:pStyle w:val="Heading1"/>
      </w:pPr>
      <w:r>
        <w:t>9. Design Principles</w:t>
      </w:r>
    </w:p>
    <w:p>
      <w:pPr>
        <w:pStyle w:val="ListBullet"/>
      </w:pPr>
      <w:r>
        <w:t>Use a clear title and short story-point captions that state the question being explored.</w:t>
      </w:r>
    </w:p>
    <w:p>
      <w:pPr>
        <w:pStyle w:val="ListBullet"/>
      </w:pPr>
      <w:r>
        <w:t>Keep the narrative order consistent: overview first, diagnostic detail next, recommendations last.</w:t>
      </w:r>
    </w:p>
    <w:p>
      <w:pPr>
        <w:pStyle w:val="ListBullet"/>
      </w:pPr>
      <w:r>
        <w:t>Use chart titles and axis labels that name the measure and unit. In the corrected sub-category and customer-segment views, the bars and horizontal axis represent Profit; in the regional view, the bars represent Sales and colour represents Profit. Keep these encodings distinct in captions and tooltips.</w:t>
      </w:r>
    </w:p>
    <w:p>
      <w:pPr>
        <w:pStyle w:val="ListBullet"/>
      </w:pPr>
      <w:r>
        <w:t>Use colour with a clear analytical purpose: apply a consistent diverging palette when profit values cross zero so losses and gains are distinguishable, and use a separate, stable categorical palette for product categories. Keep legends visible, avoid relying on colour alone, and check that labels and contrast remain readable.</w:t>
      </w:r>
    </w:p>
    <w:p>
      <w:pPr>
        <w:pStyle w:val="ListBullet"/>
      </w:pPr>
      <w:r>
        <w:t>Use tooltips to provide exact values, category names and relevant measures without overcrowding the view. Test at least one tooltip in each major view and make sure it supports the claim in the caption.</w:t>
      </w:r>
    </w:p>
    <w:p>
      <w:pPr>
        <w:pStyle w:val="ListBullet"/>
      </w:pPr>
      <w:r>
        <w:t>Distinguish observed patterns from causal explanations and recommendations.</w:t>
      </w:r>
    </w:p>
    <w:p>
      <w:pPr>
        <w:pStyle w:val="Heading1"/>
      </w:pPr>
      <w:r>
        <w:t>10. Conclusion</w:t>
      </w:r>
    </w:p>
    <w:p>
      <w:r>
        <w:t>“Beyond Sales: The Retail Profitability Investigation” turns the Superstore analysis into a guided business narrative. It begins with an overall snapshot, explores sales and profit trends, compares categories and sub-categories, examines discount and geographic differences, and closes with evidence-led findings and recommendations. Category, Segment and Region filters, together with the tested “Explore Retail Performance” filter action, support follow-up exploration. Corrected sub-category and customer-segment charts now use Profit on the horizontal axis, while the regional chart compares Sales and uses colour to represent Profit. The central takeaway is that sustainable growth should be evaluated using profit as well as sales, and that observed relationships should be investigated before being treated as causes.</w:t>
      </w:r>
    </w:p>
    <w:p>
      <w:pPr>
        <w:pStyle w:val="Heading1"/>
      </w:pPr>
      <w:r>
        <w:t>Appendix: Story Caption Themes</w:t>
      </w:r>
    </w:p>
    <w:p>
      <w:pPr>
        <w:pStyle w:val="ListBullet"/>
      </w:pPr>
      <w:r>
        <w:rPr>
          <w:b/>
        </w:rPr>
        <w:t xml:space="preserve">Retail Performance Overview: </w:t>
      </w:r>
      <w:r>
        <w:t>Establish a baseline across sales, profit, orders, discounts, categories, regions and states.</w:t>
      </w:r>
    </w:p>
    <w:p>
      <w:pPr>
        <w:pStyle w:val="ListBullet"/>
      </w:pPr>
      <w:r>
        <w:rPr>
          <w:b/>
        </w:rPr>
        <w:t xml:space="preserve">Exploring Sales Trends Over Time: </w:t>
      </w:r>
      <w:r>
        <w:t>Look for monthly peaks, dips and possible seasonal patterns.</w:t>
      </w:r>
    </w:p>
    <w:p>
      <w:pPr>
        <w:pStyle w:val="ListBullet"/>
      </w:pPr>
      <w:r>
        <w:rPr>
          <w:b/>
        </w:rPr>
        <w:t xml:space="preserve">Profitability Trends: Beyond Sales: </w:t>
      </w:r>
      <w:r>
        <w:t>Compare profit trends with sales trends to assess the quality of business performance.</w:t>
      </w:r>
    </w:p>
    <w:p>
      <w:pPr>
        <w:pStyle w:val="ListBullet"/>
      </w:pPr>
      <w:r>
        <w:rPr>
          <w:b/>
        </w:rPr>
        <w:t xml:space="preserve">Product Performance: Where Does Profit Come From?: </w:t>
      </w:r>
      <w:r>
        <w:t>Compare category performance before exploring product-level detail.</w:t>
      </w:r>
    </w:p>
    <w:p>
      <w:pPr>
        <w:pStyle w:val="ListBullet"/>
      </w:pPr>
      <w:r>
        <w:rPr>
          <w:b/>
        </w:rPr>
        <w:t xml:space="preserve">Sub-Category Profitability: Finding the Gaps: </w:t>
      </w:r>
      <w:r>
        <w:t>Negative-profit products can signal areas to investigate across pricing, discounts, costs or strategy.</w:t>
      </w:r>
    </w:p>
    <w:p>
      <w:pPr>
        <w:pStyle w:val="ListBullet"/>
      </w:pPr>
      <w:r>
        <w:rPr>
          <w:b/>
        </w:rPr>
        <w:t xml:space="preserve">Discounts and Profitability: Is There a Trade-Off?: </w:t>
      </w:r>
      <w:r>
        <w:t>Explore discount and profit patterns while remembering that association does not establish causation.</w:t>
      </w:r>
    </w:p>
    <w:p>
      <w:pPr>
        <w:pStyle w:val="ListBullet"/>
      </w:pPr>
      <w:r>
        <w:rPr>
          <w:b/>
        </w:rPr>
        <w:t xml:space="preserve">Regional Performance: Where Does the Business Stand?: </w:t>
      </w:r>
      <w:r>
        <w:t>Compare geographic markets to identify strong performance and areas for further investigation.</w:t>
      </w:r>
    </w:p>
    <w:p>
      <w:pPr>
        <w:pStyle w:val="ListBullet"/>
      </w:pPr>
      <w:r>
        <w:rPr>
          <w:b/>
        </w:rPr>
        <w:t xml:space="preserve">Customer Segments: Who Drives Performance?: </w:t>
      </w:r>
      <w:r>
        <w:t>Compare Consumer, Corporate and Home Office using clearly labelled measures.</w:t>
      </w:r>
    </w:p>
    <w:p>
      <w:pPr>
        <w:pStyle w:val="ListBullet"/>
      </w:pPr>
      <w:r>
        <w:rPr>
          <w:b/>
        </w:rPr>
        <w:t xml:space="preserve">Key Findings and Recommendations: </w:t>
      </w:r>
      <w:r>
        <w:t>Focus on profitable growth by investigating loss-making products, comparing performance and monitoring trends.</w:t>
      </w:r>
    </w:p>
    <w:p>
      <w:pPr>
        <w:spacing w:before="120"/>
      </w:pPr>
      <w:r>
        <w:t>Note on figures: Values are approximate and reflect the Tableau views reviewed during preparation. The report uses the same measure names as the corrected charts; exact values may vary slightly depending on displayed rounding.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A"/>
        <w:sz w:val="16"/>
      </w:rPr>
      <w:t>Beyond Sales: The Retail Profitability Investigation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E7A"/>
        <w:sz w:val="16"/>
      </w:rPr>
      <w:t>WEEK 3  |  TABLEAU DATA STORYTELLING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A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1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9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41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