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28"/>
        </w:rPr>
        <w:t>WEEK 4 TASK REPORT</w:t>
      </w:r>
    </w:p>
    <w:p>
      <w:pPr>
        <w:pStyle w:val="Title"/>
        <w:jc w:val="center"/>
      </w:pPr>
      <w:r>
        <w:t>Advanced Chart Techniques and Calculation Insights</w:t>
      </w:r>
    </w:p>
    <w:p>
      <w:pPr>
        <w:jc w:val="center"/>
      </w:pPr>
      <w:r>
        <w:rPr>
          <w:b/>
          <w:sz w:val="28"/>
        </w:rPr>
        <w:t>Project: Retail Sales Profitability EDA</w:t>
      </w:r>
    </w:p>
    <w:p>
      <w:pPr>
        <w:jc w:val="center"/>
      </w:pPr>
      <w:r>
        <w:t>Tool: Tableau Desktop | Deliverable: Technical approach and visualisation design report</w:t>
      </w:r>
    </w:p>
    <w:p/>
    <w:p>
      <w:pPr>
        <w:jc w:val="center"/>
      </w:pPr>
      <w:r>
        <w:t>Prepared as a guide for implementing and documenting advanced visual analysis in Tableau.</w:t>
      </w:r>
    </w:p>
    <w:p>
      <w:r>
        <w:br w:type="page"/>
      </w:r>
    </w:p>
    <w:p>
      <w:pPr>
        <w:pStyle w:val="Heading1"/>
      </w:pPr>
      <w:r>
        <w:t>1. Executive Summary</w:t>
      </w:r>
    </w:p>
    <w:p>
      <w:r>
        <w:t>This report outlines an advanced Tableau analysis for the Retail Sales Profitability EDA project. The objective is to move beyond basic totals and charts by combining comparative visualisations, calculated metrics and table calculations. The proposed analysis focuses on the relationship between sales, profit, profit margin, discounting and performance over time. The design is intended to help a viewer identify where revenue is strong, where profitability is weak, and which categories or regions may need further investigation.</w:t>
      </w:r>
    </w:p>
    <w:p>
      <w:r>
        <w:t>The core visualisation methods are (1) a dual-axis monthly trend chart comparing Sales and Profit, and (2) a heat map comparing profitability across product categories and sub-categories. A month-over-month change calculation adds a time-based comparison. The report documents formulas, implementation steps, design rationale, interaction behaviour, validation checks and limitations. The workbook should be saved after the charts and dashboard interactions have been tested.</w:t>
      </w:r>
    </w:p>
    <w:p>
      <w:pPr>
        <w:pStyle w:val="Heading1"/>
      </w:pPr>
      <w:r>
        <w:t>2. Task Objectives and Scope</w:t>
      </w:r>
    </w:p>
    <w:p>
      <w:pPr>
        <w:pStyle w:val="ListBullet"/>
      </w:pPr>
      <w:r>
        <w:t>Apply at least two advanced visualisation techniques to the existing retail sales dataset.</w:t>
      </w:r>
    </w:p>
    <w:p>
      <w:pPr>
        <w:pStyle w:val="ListBullet"/>
      </w:pPr>
      <w:r>
        <w:t>Create calculated fields that add context beyond raw Sales and Profit totals.</w:t>
      </w:r>
    </w:p>
    <w:p>
      <w:pPr>
        <w:pStyle w:val="ListBullet"/>
      </w:pPr>
      <w:r>
        <w:t>Use a table calculation to show how performance changes over time.</w:t>
      </w:r>
    </w:p>
    <w:p>
      <w:pPr>
        <w:pStyle w:val="ListBullet"/>
      </w:pPr>
      <w:r>
        <w:t>Plan a dashboard layout that supports exploration without overwhelming the viewer.</w:t>
      </w:r>
    </w:p>
    <w:p>
      <w:pPr>
        <w:pStyle w:val="ListBullet"/>
      </w:pPr>
      <w:r>
        <w:t>Document each formula, its business purpose, its interpretation and its limitations.</w:t>
      </w:r>
    </w:p>
    <w:p>
      <w:pPr>
        <w:pStyle w:val="Heading1"/>
      </w:pPr>
      <w:r>
        <w:t>3. Dataset and Analytical Questions</w:t>
      </w:r>
    </w:p>
    <w:p>
      <w:r>
        <w:t>The project uses the existing Retail Sales Profitability EDA workbook and its retail sales dataset. The formulas and views below assume common fields such as Order Date, Sales, Profit, Discount, Region, Category and Sub-Category. Before creating each field, confirm the exact field names in the Tableau Data pane. If a field has a different name in the workbook, substitute the exact name while keeping the formula logic.</w:t>
      </w:r>
    </w:p>
    <w:p>
      <w:pPr>
        <w:pStyle w:val="Heading2"/>
      </w:pPr>
      <w:r>
        <w:t>Key analytical questions</w:t>
      </w:r>
    </w:p>
    <w:p>
      <w:pPr>
        <w:pStyle w:val="ListBullet"/>
      </w:pPr>
      <w:r>
        <w:t>How do monthly Sales and Profit move over the selected period?</w:t>
      </w:r>
    </w:p>
    <w:p>
      <w:pPr>
        <w:pStyle w:val="ListBullet"/>
      </w:pPr>
      <w:r>
        <w:t>Are high-sales categories also generating healthy profit?</w:t>
      </w:r>
    </w:p>
    <w:p>
      <w:pPr>
        <w:pStyle w:val="ListBullet"/>
      </w:pPr>
      <w:r>
        <w:t>Which Category and Sub-Category combinations have weaker profitability?</w:t>
      </w:r>
    </w:p>
    <w:p>
      <w:pPr>
        <w:pStyle w:val="ListBullet"/>
      </w:pPr>
      <w:r>
        <w:t>How does profit margin vary by Region and product grouping?</w:t>
      </w:r>
    </w:p>
    <w:p>
      <w:pPr>
        <w:pStyle w:val="ListBullet"/>
      </w:pPr>
      <w:r>
        <w:t>Does the latest month show improvement or decline compared with the previous month?</w:t>
      </w:r>
    </w:p>
    <w:p>
      <w:pPr>
        <w:pStyle w:val="Heading1"/>
      </w:pPr>
      <w:r>
        <w:t>4. Calculated Fields and Table Calculations</w:t>
      </w:r>
    </w:p>
    <w:p>
      <w:r>
        <w:t>Calculated fields should be created from Analysis &gt; Create Calculated Field. Enter the field name, paste the formula, and select Apply/OK. Tableau may use different aggregation behaviour depending on the view; the formulas below use explicit aggregations where appropriate to make the intended metric clear.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B4C7E7"/>
          </w:tcPr>
          <w:p>
            <w:pPr>
              <w:spacing w:after="40"/>
            </w:pPr>
            <w:r/>
            <w:r>
              <w:rPr>
                <w:rFonts w:ascii="Times New Roman" w:hAnsi="Times New Roman"/>
                <w:b/>
                <w:sz w:val="19"/>
              </w:rPr>
              <w:t>Field name</w:t>
            </w:r>
          </w:p>
        </w:tc>
        <w:tc>
          <w:tcPr>
            <w:tcW w:type="dxa" w:w="2484"/>
            <w:vAlign w:val="center"/>
            <w:shd w:fill="B4C7E7"/>
          </w:tcPr>
          <w:p>
            <w:pPr>
              <w:spacing w:after="40"/>
            </w:pPr>
            <w:r/>
            <w:r>
              <w:rPr>
                <w:rFonts w:ascii="Times New Roman" w:hAnsi="Times New Roman"/>
                <w:b/>
                <w:sz w:val="19"/>
              </w:rPr>
              <w:t>Tableau formula</w:t>
            </w:r>
          </w:p>
        </w:tc>
        <w:tc>
          <w:tcPr>
            <w:tcW w:type="dxa" w:w="2484"/>
            <w:vAlign w:val="center"/>
            <w:shd w:fill="B4C7E7"/>
          </w:tcPr>
          <w:p>
            <w:pPr>
              <w:spacing w:after="40"/>
            </w:pPr>
            <w:r/>
            <w:r>
              <w:rPr>
                <w:rFonts w:ascii="Times New Roman" w:hAnsi="Times New Roman"/>
                <w:b/>
                <w:sz w:val="19"/>
              </w:rPr>
              <w:t>Purpose</w:t>
            </w:r>
          </w:p>
        </w:tc>
        <w:tc>
          <w:tcPr>
            <w:tcW w:type="dxa" w:w="2484"/>
            <w:vAlign w:val="center"/>
            <w:shd w:fill="B4C7E7"/>
          </w:tcPr>
          <w:p>
            <w:pPr>
              <w:spacing w:after="40"/>
            </w:pPr>
            <w:r/>
            <w:r>
              <w:rPr>
                <w:rFonts w:ascii="Times New Roman" w:hAnsi="Times New Roman"/>
                <w:b/>
                <w:sz w:val="19"/>
              </w:rPr>
              <w:t>Interpretation</w:t>
            </w:r>
          </w:p>
        </w:tc>
      </w:tr>
      <w:tr>
        <w:tc>
          <w:tcPr>
            <w:tcW w:type="dxa" w:w="2484"/>
            <w:vAlign w:val="center"/>
          </w:tcPr>
          <w:p>
            <w:pPr>
              <w:spacing w:after="40"/>
            </w:pPr>
            <w:r/>
            <w:r>
              <w:rPr>
                <w:rFonts w:ascii="Times New Roman" w:hAnsi="Times New Roman"/>
                <w:b w:val="0"/>
                <w:sz w:val="19"/>
              </w:rPr>
              <w:t>Profit Margin</w:t>
            </w:r>
          </w:p>
        </w:tc>
        <w:tc>
          <w:tcPr>
            <w:tcW w:type="dxa" w:w="2484"/>
            <w:vAlign w:val="center"/>
          </w:tcPr>
          <w:p>
            <w:pPr>
              <w:spacing w:after="40"/>
            </w:pPr>
            <w:r/>
            <w:r>
              <w:rPr>
                <w:rFonts w:ascii="Times New Roman" w:hAnsi="Times New Roman"/>
                <w:b w:val="0"/>
                <w:sz w:val="19"/>
              </w:rPr>
              <w:t>IF SUM([Sales]) = 0 THEN NULL ELSE SUM([Profit]) / SUM([Sales]) END</w:t>
            </w:r>
          </w:p>
        </w:tc>
        <w:tc>
          <w:tcPr>
            <w:tcW w:type="dxa" w:w="2484"/>
            <w:vAlign w:val="center"/>
          </w:tcPr>
          <w:p>
            <w:pPr>
              <w:spacing w:after="40"/>
            </w:pPr>
            <w:r/>
            <w:r>
              <w:rPr>
                <w:rFonts w:ascii="Times New Roman" w:hAnsi="Times New Roman"/>
                <w:b w:val="0"/>
                <w:sz w:val="19"/>
              </w:rPr>
              <w:t>Measures profit relative to sales.</w:t>
            </w:r>
          </w:p>
        </w:tc>
        <w:tc>
          <w:tcPr>
            <w:tcW w:type="dxa" w:w="2484"/>
            <w:vAlign w:val="center"/>
          </w:tcPr>
          <w:p>
            <w:pPr>
              <w:spacing w:after="40"/>
            </w:pPr>
            <w:r/>
            <w:r>
              <w:rPr>
                <w:rFonts w:ascii="Times New Roman" w:hAnsi="Times New Roman"/>
                <w:b w:val="0"/>
                <w:sz w:val="19"/>
              </w:rPr>
              <w:t>Format as Percentage. A negative value indicates a loss; a higher positive value indicates stronger margin.</w:t>
            </w:r>
          </w:p>
        </w:tc>
      </w:tr>
      <w:tr>
        <w:tc>
          <w:tcPr>
            <w:tcW w:type="dxa" w:w="2484"/>
            <w:vAlign w:val="center"/>
          </w:tcPr>
          <w:p>
            <w:pPr>
              <w:spacing w:after="40"/>
            </w:pPr>
            <w:r/>
            <w:r>
              <w:rPr>
                <w:rFonts w:ascii="Times New Roman" w:hAnsi="Times New Roman"/>
                <w:b w:val="0"/>
                <w:sz w:val="19"/>
              </w:rPr>
              <w:t>Average Discount</w:t>
            </w:r>
          </w:p>
        </w:tc>
        <w:tc>
          <w:tcPr>
            <w:tcW w:type="dxa" w:w="2484"/>
            <w:vAlign w:val="center"/>
          </w:tcPr>
          <w:p>
            <w:pPr>
              <w:spacing w:after="40"/>
            </w:pPr>
            <w:r/>
            <w:r>
              <w:rPr>
                <w:rFonts w:ascii="Times New Roman" w:hAnsi="Times New Roman"/>
                <w:b w:val="0"/>
                <w:sz w:val="19"/>
              </w:rPr>
              <w:t>AVG([Discount])</w:t>
            </w:r>
          </w:p>
        </w:tc>
        <w:tc>
          <w:tcPr>
            <w:tcW w:type="dxa" w:w="2484"/>
            <w:vAlign w:val="center"/>
          </w:tcPr>
          <w:p>
            <w:pPr>
              <w:spacing w:after="40"/>
            </w:pPr>
            <w:r/>
            <w:r>
              <w:rPr>
                <w:rFonts w:ascii="Times New Roman" w:hAnsi="Times New Roman"/>
                <w:b w:val="0"/>
                <w:sz w:val="19"/>
              </w:rPr>
              <w:t>Shows the typical discount level in the current view.</w:t>
            </w:r>
          </w:p>
        </w:tc>
        <w:tc>
          <w:tcPr>
            <w:tcW w:type="dxa" w:w="2484"/>
            <w:vAlign w:val="center"/>
          </w:tcPr>
          <w:p>
            <w:pPr>
              <w:spacing w:after="40"/>
            </w:pPr>
            <w:r/>
            <w:r>
              <w:rPr>
                <w:rFonts w:ascii="Times New Roman" w:hAnsi="Times New Roman"/>
                <w:b w:val="0"/>
                <w:sz w:val="19"/>
              </w:rPr>
              <w:t>Format as Percentage if Discount is stored as a fraction. Confirm the source data's scale.</w:t>
            </w:r>
          </w:p>
        </w:tc>
      </w:tr>
      <w:tr>
        <w:tc>
          <w:tcPr>
            <w:tcW w:type="dxa" w:w="2484"/>
            <w:vAlign w:val="center"/>
          </w:tcPr>
          <w:p>
            <w:pPr>
              <w:spacing w:after="40"/>
            </w:pPr>
            <w:r/>
            <w:r>
              <w:rPr>
                <w:rFonts w:ascii="Times New Roman" w:hAnsi="Times New Roman"/>
                <w:b w:val="0"/>
                <w:sz w:val="19"/>
              </w:rPr>
              <w:t>Sales per Order (optional)</w:t>
            </w:r>
          </w:p>
        </w:tc>
        <w:tc>
          <w:tcPr>
            <w:tcW w:type="dxa" w:w="2484"/>
            <w:vAlign w:val="center"/>
          </w:tcPr>
          <w:p>
            <w:pPr>
              <w:spacing w:after="40"/>
            </w:pPr>
            <w:r/>
            <w:r>
              <w:rPr>
                <w:rFonts w:ascii="Times New Roman" w:hAnsi="Times New Roman"/>
                <w:b w:val="0"/>
                <w:sz w:val="19"/>
              </w:rPr>
              <w:t>SUM([Sales]) / COUNTD([Order ID])</w:t>
            </w:r>
          </w:p>
        </w:tc>
        <w:tc>
          <w:tcPr>
            <w:tcW w:type="dxa" w:w="2484"/>
            <w:vAlign w:val="center"/>
          </w:tcPr>
          <w:p>
            <w:pPr>
              <w:spacing w:after="40"/>
            </w:pPr>
            <w:r/>
            <w:r>
              <w:rPr>
                <w:rFonts w:ascii="Times New Roman" w:hAnsi="Times New Roman"/>
                <w:b w:val="0"/>
                <w:sz w:val="19"/>
              </w:rPr>
              <w:t>Estimates average sales value per distinct order.</w:t>
            </w:r>
          </w:p>
        </w:tc>
        <w:tc>
          <w:tcPr>
            <w:tcW w:type="dxa" w:w="2484"/>
            <w:vAlign w:val="center"/>
          </w:tcPr>
          <w:p>
            <w:pPr>
              <w:spacing w:after="40"/>
            </w:pPr>
            <w:r/>
            <w:r>
              <w:rPr>
                <w:rFonts w:ascii="Times New Roman" w:hAnsi="Times New Roman"/>
                <w:b w:val="0"/>
                <w:sz w:val="19"/>
              </w:rPr>
              <w:t>Use only if Order ID exists and is a reliable order identifier.</w:t>
            </w:r>
          </w:p>
        </w:tc>
      </w:tr>
      <w:tr>
        <w:tc>
          <w:tcPr>
            <w:tcW w:type="dxa" w:w="2484"/>
            <w:vAlign w:val="center"/>
          </w:tcPr>
          <w:p>
            <w:pPr>
              <w:spacing w:after="40"/>
            </w:pPr>
            <w:r/>
            <w:r>
              <w:rPr>
                <w:rFonts w:ascii="Times New Roman" w:hAnsi="Times New Roman"/>
                <w:b w:val="0"/>
                <w:sz w:val="19"/>
              </w:rPr>
              <w:t>Monthly Sales</w:t>
            </w:r>
          </w:p>
        </w:tc>
        <w:tc>
          <w:tcPr>
            <w:tcW w:type="dxa" w:w="2484"/>
            <w:vAlign w:val="center"/>
          </w:tcPr>
          <w:p>
            <w:pPr>
              <w:spacing w:after="40"/>
            </w:pPr>
            <w:r/>
            <w:r>
              <w:rPr>
                <w:rFonts w:ascii="Times New Roman" w:hAnsi="Times New Roman"/>
                <w:b w:val="0"/>
                <w:sz w:val="19"/>
              </w:rPr>
              <w:t>SUM([Sales])</w:t>
            </w:r>
          </w:p>
        </w:tc>
        <w:tc>
          <w:tcPr>
            <w:tcW w:type="dxa" w:w="2484"/>
            <w:vAlign w:val="center"/>
          </w:tcPr>
          <w:p>
            <w:pPr>
              <w:spacing w:after="40"/>
            </w:pPr>
            <w:r/>
            <w:r>
              <w:rPr>
                <w:rFonts w:ascii="Times New Roman" w:hAnsi="Times New Roman"/>
                <w:b w:val="0"/>
                <w:sz w:val="19"/>
              </w:rPr>
              <w:t>Provides the sales measure for a monthly trend.</w:t>
            </w:r>
          </w:p>
        </w:tc>
        <w:tc>
          <w:tcPr>
            <w:tcW w:type="dxa" w:w="2484"/>
            <w:vAlign w:val="center"/>
          </w:tcPr>
          <w:p>
            <w:pPr>
              <w:spacing w:after="40"/>
            </w:pPr>
            <w:r/>
            <w:r>
              <w:rPr>
                <w:rFonts w:ascii="Times New Roman" w:hAnsi="Times New Roman"/>
                <w:b w:val="0"/>
                <w:sz w:val="19"/>
              </w:rPr>
              <w:t>Use with Order Date at Month level; this is an aggregated measure, not a row-level calculation.</w:t>
            </w:r>
          </w:p>
        </w:tc>
      </w:tr>
      <w:tr>
        <w:tc>
          <w:tcPr>
            <w:tcW w:type="dxa" w:w="2484"/>
            <w:vAlign w:val="center"/>
          </w:tcPr>
          <w:p>
            <w:pPr>
              <w:spacing w:after="40"/>
            </w:pPr>
            <w:r/>
            <w:r>
              <w:rPr>
                <w:rFonts w:ascii="Times New Roman" w:hAnsi="Times New Roman"/>
                <w:b w:val="0"/>
                <w:sz w:val="19"/>
              </w:rPr>
              <w:t>Monthly Profit</w:t>
            </w:r>
          </w:p>
        </w:tc>
        <w:tc>
          <w:tcPr>
            <w:tcW w:type="dxa" w:w="2484"/>
            <w:vAlign w:val="center"/>
          </w:tcPr>
          <w:p>
            <w:pPr>
              <w:spacing w:after="40"/>
            </w:pPr>
            <w:r/>
            <w:r>
              <w:rPr>
                <w:rFonts w:ascii="Times New Roman" w:hAnsi="Times New Roman"/>
                <w:b w:val="0"/>
                <w:sz w:val="19"/>
              </w:rPr>
              <w:t>SUM([Profit])</w:t>
            </w:r>
          </w:p>
        </w:tc>
        <w:tc>
          <w:tcPr>
            <w:tcW w:type="dxa" w:w="2484"/>
            <w:vAlign w:val="center"/>
          </w:tcPr>
          <w:p>
            <w:pPr>
              <w:spacing w:after="40"/>
            </w:pPr>
            <w:r/>
            <w:r>
              <w:rPr>
                <w:rFonts w:ascii="Times New Roman" w:hAnsi="Times New Roman"/>
                <w:b w:val="0"/>
                <w:sz w:val="19"/>
              </w:rPr>
              <w:t>Provides the profit measure for a monthly trend.</w:t>
            </w:r>
          </w:p>
        </w:tc>
        <w:tc>
          <w:tcPr>
            <w:tcW w:type="dxa" w:w="2484"/>
            <w:vAlign w:val="center"/>
          </w:tcPr>
          <w:p>
            <w:pPr>
              <w:spacing w:after="40"/>
            </w:pPr>
            <w:r/>
            <w:r>
              <w:rPr>
                <w:rFonts w:ascii="Times New Roman" w:hAnsi="Times New Roman"/>
                <w:b w:val="0"/>
                <w:sz w:val="19"/>
              </w:rPr>
              <w:t>Use on the second axis of the dual-axis chart.</w:t>
            </w:r>
          </w:p>
        </w:tc>
      </w:tr>
    </w:tbl>
    <w:p>
      <w:pPr>
        <w:pStyle w:val="Heading2"/>
      </w:pPr>
      <w:r>
        <w:t>4.1 Month-over-Month Sales Change (table calculation)</w:t>
      </w:r>
    </w:p>
    <w:p>
      <w:r>
        <w:t>Create a calculated field named MoM Sales Change (%):</w:t>
      </w:r>
    </w:p>
    <w:p>
      <w:r>
        <w:rPr>
          <w:rFonts w:ascii="Consolas" w:hAnsi="Consolas"/>
          <w:sz w:val="20"/>
        </w:rPr>
        <w:t>(SUM([Sales]) - LOOKUP(SUM([Sales]), -1)) / ABS(LOOKUP(SUM([Sales]), -1))</w:t>
      </w:r>
    </w:p>
    <w:p>
      <w:r>
        <w:t>This table calculation compares the current month’s Sales with the previous month’s Sales. Format it as a percentage. In the view, set Compute Using to the month/date field (Table Across or Specific Dimensions, depending on the layout). The first month has no previous month and should display Null. If the previous month’s sales are zero, interpret the result carefully; the denominator can be zero, so use a guarded version if zero-sales months are possible.</w:t>
      </w:r>
    </w:p>
    <w:p>
      <w:r>
        <w:t>Guarded alternative for data that may contain zero-sales months:</w:t>
      </w:r>
    </w:p>
    <w:p>
      <w:r>
        <w:rPr>
          <w:rFonts w:ascii="Consolas" w:hAnsi="Consolas"/>
          <w:sz w:val="19"/>
        </w:rPr>
        <w:t>IF ABS(LOOKUP(SUM([Sales]), -1)) = 0 THEN NULL ELSE (SUM([Sales]) - LOOKUP(SUM([Sales]), -1)) / ABS(LOOKUP(SUM([Sales]), -1)) END</w:t>
      </w:r>
    </w:p>
    <w:p>
      <w:r>
        <w:t>Impact: the calculation distinguishes growth from decline and helps the viewer identify turning points that are not obvious from absolute sales values alone. It is dependent on the order and addressing of dates in the visualisation.</w:t>
      </w:r>
    </w:p>
    <w:p>
      <w:pPr>
        <w:pStyle w:val="Heading1"/>
      </w:pPr>
      <w:r>
        <w:t>5. Advanced Visualisation 1: Dual-Axis Monthly Sales and Profit Trend</w:t>
      </w:r>
    </w:p>
    <w:p>
      <w:pPr>
        <w:pStyle w:val="Heading2"/>
      </w:pPr>
      <w:r>
        <w:t>Purpose and rationale</w:t>
      </w:r>
    </w:p>
    <w:p>
      <w:r>
        <w:t>A dual-axis chart allows Sales and Profit to be compared across the same monthly timeline while retaining separate scales. This is useful because Sales and Profit may have very different magnitudes. The visual can reveal periods where sales rise but profit falls, which may indicate changes in costs, discounting or product mix.</w:t>
      </w:r>
    </w:p>
    <w:p>
      <w:pPr>
        <w:pStyle w:val="Heading2"/>
      </w:pPr>
      <w:r>
        <w:t>Build steps in Tableau</w:t>
      </w:r>
    </w:p>
    <w:p>
      <w:pPr>
        <w:pStyle w:val="ListNumber"/>
      </w:pPr>
      <w:r>
        <w:t>Create a new worksheet and name it 'Monthly Sales and Profit – Dual Axis'.</w:t>
      </w:r>
    </w:p>
    <w:p>
      <w:pPr>
        <w:pStyle w:val="ListNumber"/>
      </w:pPr>
      <w:r>
        <w:t>Drag Order Date to Columns and select Month (continuous/green where available) so the timeline is chronological.</w:t>
      </w:r>
    </w:p>
    <w:p>
      <w:pPr>
        <w:pStyle w:val="ListNumber"/>
      </w:pPr>
      <w:r>
        <w:t>Drag Sales to Rows. Confirm the pill is SUM(Sales).</w:t>
      </w:r>
    </w:p>
    <w:p>
      <w:pPr>
        <w:pStyle w:val="ListNumber"/>
      </w:pPr>
      <w:r>
        <w:t>Drag Profit to Rows beside Sales, then open the Profit axis/pill menu and select Dual Axis.</w:t>
      </w:r>
    </w:p>
    <w:p>
      <w:pPr>
        <w:pStyle w:val="ListNumber"/>
      </w:pPr>
      <w:r>
        <w:t>Use the Marks cards to assign a Line mark to both measures. Keep the two series visually distinct.</w:t>
      </w:r>
    </w:p>
    <w:p>
      <w:pPr>
        <w:pStyle w:val="ListNumber"/>
      </w:pPr>
      <w:r>
        <w:t>Do not synchronise the axes automatically unless it is analytically appropriate; Sales and Profit have different units and scales.</w:t>
      </w:r>
    </w:p>
    <w:p>
      <w:pPr>
        <w:pStyle w:val="ListNumber"/>
      </w:pPr>
      <w:r>
        <w:t>Add informative tooltips showing Month, Sales, Profit and Profit Margin. Format Sales and Profit as currency.</w:t>
      </w:r>
    </w:p>
    <w:p>
      <w:pPr>
        <w:pStyle w:val="ListNumber"/>
      </w:pPr>
      <w:r>
        <w:t>Check the first and last dates, missing months, and any unusual spikes before interpreting the trend.</w:t>
      </w:r>
    </w:p>
    <w:p>
      <w:pPr>
        <w:pStyle w:val="Heading2"/>
      </w:pPr>
      <w:r>
        <w:t>Design choices</w:t>
      </w:r>
    </w:p>
    <w:p>
      <w:pPr>
        <w:pStyle w:val="ListBullet"/>
      </w:pPr>
      <w:r>
        <w:t>Use a clear title that states the comparison and period, for example 'Monthly Sales vs Profit'.</w:t>
      </w:r>
    </w:p>
    <w:p>
      <w:pPr>
        <w:pStyle w:val="ListBullet"/>
      </w:pPr>
      <w:r>
        <w:t>Keep gridlines subtle and avoid unnecessary labels on every point; tooltips can provide exact values.</w:t>
      </w:r>
    </w:p>
    <w:p>
      <w:pPr>
        <w:pStyle w:val="ListBullet"/>
      </w:pPr>
      <w:r>
        <w:t>Use the same time grain throughout the view. Monthly aggregation is easier to read than daily noise for an executive dashboard.</w:t>
      </w:r>
    </w:p>
    <w:p>
      <w:pPr>
        <w:pStyle w:val="ListBullet"/>
      </w:pPr>
      <w:r>
        <w:t>Because the two axes have different scales, label both axes clearly and do not imply that equal line heights represent equal amounts.</w:t>
      </w:r>
    </w:p>
    <w:p>
      <w:pPr>
        <w:pStyle w:val="Heading2"/>
      </w:pPr>
      <w:r>
        <w:t>Expected analytical value</w:t>
      </w:r>
    </w:p>
    <w:p>
      <w:r>
        <w:t>The chart supports trend comparison and exception detection. It does not by itself prove why Sales and Profit move differently; the viewer should use the discount and category views to investigate possible explanations.</w:t>
      </w:r>
    </w:p>
    <w:p>
      <w:pPr>
        <w:pStyle w:val="Heading1"/>
      </w:pPr>
      <w:r>
        <w:t>6. Advanced Visualisation 2: Profitability Heat Map</w:t>
      </w:r>
    </w:p>
    <w:p>
      <w:pPr>
        <w:pStyle w:val="Heading2"/>
      </w:pPr>
      <w:r>
        <w:t>Purpose and rationale</w:t>
      </w:r>
    </w:p>
    <w:p>
      <w:r>
        <w:t>A heat map uses colour intensity to reveal patterns across two categorical dimensions. For this project, Category and Sub-Category form the grid and Profit Margin provides the colour encoding. This makes weaker or negative-margin product groups easier to spot than scanning a long table of numbers.</w:t>
      </w:r>
    </w:p>
    <w:p>
      <w:pPr>
        <w:pStyle w:val="Heading2"/>
      </w:pPr>
      <w:r>
        <w:t>Build steps in Tableau</w:t>
      </w:r>
    </w:p>
    <w:p>
      <w:pPr>
        <w:pStyle w:val="ListNumber"/>
      </w:pPr>
      <w:r>
        <w:t>Create a worksheet named 'Profitability Heat Map'.</w:t>
      </w:r>
    </w:p>
    <w:p>
      <w:pPr>
        <w:pStyle w:val="ListNumber"/>
      </w:pPr>
      <w:r>
        <w:t>Drag Category to Rows and Sub-Category to Rows beneath Category, or place one dimension on Columns if a more compact matrix is preferred.</w:t>
      </w:r>
    </w:p>
    <w:p>
      <w:pPr>
        <w:pStyle w:val="ListNumber"/>
      </w:pPr>
      <w:r>
        <w:t>Choose Square on the Marks card, or use Show Me &gt; Heat Maps if available.</w:t>
      </w:r>
    </w:p>
    <w:p>
      <w:pPr>
        <w:pStyle w:val="ListNumber"/>
      </w:pPr>
      <w:r>
        <w:t>Drag Profit Margin to Color and Sales to Size only if the size encoding remains legible; otherwise use colour alone.</w:t>
      </w:r>
    </w:p>
    <w:p>
      <w:pPr>
        <w:pStyle w:val="ListNumber"/>
      </w:pPr>
      <w:r>
        <w:t>Drag Sales, Profit and Profit Margin to Tooltip. Format Profit Margin as a percentage and Sales/Profit as currency.</w:t>
      </w:r>
    </w:p>
    <w:p>
      <w:pPr>
        <w:pStyle w:val="ListNumber"/>
      </w:pPr>
      <w:r>
        <w:t>Use a diverging colour palette with a meaningful midpoint at zero, so negative and positive margins are visually distinct.</w:t>
      </w:r>
    </w:p>
    <w:p>
      <w:pPr>
        <w:pStyle w:val="ListNumber"/>
      </w:pPr>
      <w:r>
        <w:t>Sort sub-categories by Profit Margin or Profit to make patterns easier to compare, and verify the aggregation level.</w:t>
      </w:r>
    </w:p>
    <w:p>
      <w:pPr>
        <w:pStyle w:val="Heading2"/>
      </w:pPr>
      <w:r>
        <w:t>Design choices and interpretation</w:t>
      </w:r>
    </w:p>
    <w:p>
      <w:r>
        <w:t>Colour should encode profitability, not sales volume, because the purpose of this view is to find margin strength and weakness. If Sales is also encoded by square size, the viewer can distinguish a low-margin product group with high sales from one with low sales. Keep the legend visible and explain that colour represents the aggregated Profit Margin in the current filter context.</w:t>
      </w:r>
    </w:p>
    <w:p>
      <w:r>
        <w:t>Caution: Profit Margin is a ratio of aggregated Profit to aggregated Sales, not the average of row-level margins. This avoids giving small transactions the same weight as large transactions.</w:t>
      </w:r>
    </w:p>
    <w:p>
      <w:pPr>
        <w:pStyle w:val="Heading1"/>
      </w:pPr>
      <w:r>
        <w:t>7. Optional Supporting View: Discount vs Profitability</w:t>
      </w:r>
    </w:p>
    <w:p>
      <w:r>
        <w:t>If time permits and the dataset has a Discount field, create a scatter plot with Discount on Columns and Profit on Rows, using Sub-Category or Order ID on Detail depending on the data volume. Add Sales to Size and Category to Colour. This view can help identify whether higher discount levels are associated with weaker profit. Treat the pattern as an association, not proof that discounting caused a profit change.</w:t>
      </w:r>
    </w:p>
    <w:p>
      <w:pPr>
        <w:pStyle w:val="Heading1"/>
      </w:pPr>
      <w:r>
        <w:t>8. Dashboard Design and Interaction Plan</w:t>
      </w:r>
    </w:p>
    <w:p>
      <w:r>
        <w:t>Use a single dashboard titled 'Retail Sales Profitability: Advanced Insights'. The recommended layout prioritises a clear reading order: summary metrics first, trend second, category comparison third, and filters in a consistent location.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B4C7E7"/>
          </w:tcPr>
          <w:p>
            <w:pPr>
              <w:spacing w:after="40"/>
            </w:pPr>
            <w:r/>
            <w:r>
              <w:rPr>
                <w:rFonts w:ascii="Times New Roman" w:hAnsi="Times New Roman"/>
                <w:b/>
                <w:sz w:val="19"/>
              </w:rPr>
              <w:t>Dashboard area</w:t>
            </w:r>
          </w:p>
        </w:tc>
        <w:tc>
          <w:tcPr>
            <w:tcW w:type="dxa" w:w="4968"/>
            <w:vAlign w:val="center"/>
            <w:shd w:fill="B4C7E7"/>
          </w:tcPr>
          <w:p>
            <w:pPr>
              <w:spacing w:after="40"/>
            </w:pPr>
            <w:r/>
            <w:r>
              <w:rPr>
                <w:rFonts w:ascii="Times New Roman" w:hAnsi="Times New Roman"/>
                <w:b/>
                <w:sz w:val="19"/>
              </w:rPr>
              <w:t>Contents and rationale</w:t>
            </w:r>
          </w:p>
        </w:tc>
      </w:tr>
      <w:tr>
        <w:tc>
          <w:tcPr>
            <w:tcW w:type="dxa" w:w="4968"/>
            <w:vAlign w:val="center"/>
          </w:tcPr>
          <w:p>
            <w:pPr>
              <w:spacing w:after="40"/>
            </w:pPr>
            <w:r/>
            <w:r>
              <w:rPr>
                <w:rFonts w:ascii="Times New Roman" w:hAnsi="Times New Roman"/>
                <w:b/>
                <w:sz w:val="19"/>
              </w:rPr>
              <w:t>Top: title and filters</w:t>
            </w:r>
          </w:p>
        </w:tc>
        <w:tc>
          <w:tcPr>
            <w:tcW w:type="dxa" w:w="4968"/>
            <w:vAlign w:val="center"/>
          </w:tcPr>
          <w:p>
            <w:pPr>
              <w:spacing w:after="40"/>
            </w:pPr>
            <w:r/>
            <w:r>
              <w:rPr>
                <w:rFonts w:ascii="Times New Roman" w:hAnsi="Times New Roman"/>
                <w:b w:val="0"/>
                <w:sz w:val="19"/>
              </w:rPr>
              <w:t>Dashboard title plus date range, Region and Category filters. Keep filters compact and clearly labelled.</w:t>
            </w:r>
          </w:p>
        </w:tc>
      </w:tr>
      <w:tr>
        <w:tc>
          <w:tcPr>
            <w:tcW w:type="dxa" w:w="4968"/>
            <w:vAlign w:val="center"/>
          </w:tcPr>
          <w:p>
            <w:pPr>
              <w:spacing w:after="40"/>
            </w:pPr>
            <w:r/>
            <w:r>
              <w:rPr>
                <w:rFonts w:ascii="Times New Roman" w:hAnsi="Times New Roman"/>
                <w:b/>
                <w:sz w:val="19"/>
              </w:rPr>
              <w:t>KPI strip</w:t>
            </w:r>
          </w:p>
        </w:tc>
        <w:tc>
          <w:tcPr>
            <w:tcW w:type="dxa" w:w="4968"/>
            <w:vAlign w:val="center"/>
          </w:tcPr>
          <w:p>
            <w:pPr>
              <w:spacing w:after="40"/>
            </w:pPr>
            <w:r/>
            <w:r>
              <w:rPr>
                <w:rFonts w:ascii="Times New Roman" w:hAnsi="Times New Roman"/>
                <w:b w:val="0"/>
                <w:sz w:val="19"/>
              </w:rPr>
              <w:t>Sales, Profit and Profit Margin. Use consistent currency/percentage formatting and avoid decorative clutter.</w:t>
            </w:r>
          </w:p>
        </w:tc>
      </w:tr>
      <w:tr>
        <w:tc>
          <w:tcPr>
            <w:tcW w:type="dxa" w:w="4968"/>
            <w:vAlign w:val="center"/>
          </w:tcPr>
          <w:p>
            <w:pPr>
              <w:spacing w:after="40"/>
            </w:pPr>
            <w:r/>
            <w:r>
              <w:rPr>
                <w:rFonts w:ascii="Times New Roman" w:hAnsi="Times New Roman"/>
                <w:b/>
                <w:sz w:val="19"/>
              </w:rPr>
              <w:t>Middle: trend</w:t>
            </w:r>
          </w:p>
        </w:tc>
        <w:tc>
          <w:tcPr>
            <w:tcW w:type="dxa" w:w="4968"/>
            <w:vAlign w:val="center"/>
          </w:tcPr>
          <w:p>
            <w:pPr>
              <w:spacing w:after="40"/>
            </w:pPr>
            <w:r/>
            <w:r>
              <w:rPr>
                <w:rFonts w:ascii="Times New Roman" w:hAnsi="Times New Roman"/>
                <w:b w:val="0"/>
                <w:sz w:val="19"/>
              </w:rPr>
              <w:t>Monthly Sales and Profit dual-axis line chart. This establishes the overall performance story over time.</w:t>
            </w:r>
          </w:p>
        </w:tc>
      </w:tr>
      <w:tr>
        <w:tc>
          <w:tcPr>
            <w:tcW w:type="dxa" w:w="4968"/>
            <w:vAlign w:val="center"/>
          </w:tcPr>
          <w:p>
            <w:pPr>
              <w:spacing w:after="40"/>
            </w:pPr>
            <w:r/>
            <w:r>
              <w:rPr>
                <w:rFonts w:ascii="Times New Roman" w:hAnsi="Times New Roman"/>
                <w:b/>
                <w:sz w:val="19"/>
              </w:rPr>
              <w:t>Bottom left: heat map</w:t>
            </w:r>
          </w:p>
        </w:tc>
        <w:tc>
          <w:tcPr>
            <w:tcW w:type="dxa" w:w="4968"/>
            <w:vAlign w:val="center"/>
          </w:tcPr>
          <w:p>
            <w:pPr>
              <w:spacing w:after="40"/>
            </w:pPr>
            <w:r/>
            <w:r>
              <w:rPr>
                <w:rFonts w:ascii="Times New Roman" w:hAnsi="Times New Roman"/>
                <w:b w:val="0"/>
                <w:sz w:val="19"/>
              </w:rPr>
              <w:t>Profit Margin by Category and Sub-Category. This identifies product groups for follow-up.</w:t>
            </w:r>
          </w:p>
        </w:tc>
      </w:tr>
      <w:tr>
        <w:tc>
          <w:tcPr>
            <w:tcW w:type="dxa" w:w="4968"/>
            <w:vAlign w:val="center"/>
          </w:tcPr>
          <w:p>
            <w:pPr>
              <w:spacing w:after="40"/>
            </w:pPr>
            <w:r/>
            <w:r>
              <w:rPr>
                <w:rFonts w:ascii="Times New Roman" w:hAnsi="Times New Roman"/>
                <w:b/>
                <w:sz w:val="19"/>
              </w:rPr>
              <w:t>Bottom right: optional scatter plot</w:t>
            </w:r>
          </w:p>
        </w:tc>
        <w:tc>
          <w:tcPr>
            <w:tcW w:type="dxa" w:w="4968"/>
            <w:vAlign w:val="center"/>
          </w:tcPr>
          <w:p>
            <w:pPr>
              <w:spacing w:after="40"/>
            </w:pPr>
            <w:r/>
            <w:r>
              <w:rPr>
                <w:rFonts w:ascii="Times New Roman" w:hAnsi="Times New Roman"/>
                <w:b w:val="0"/>
                <w:sz w:val="19"/>
              </w:rPr>
              <w:t>Discount vs Profit, if included. This supports investigation of discount/profit relationships.</w:t>
            </w:r>
          </w:p>
        </w:tc>
      </w:tr>
    </w:tbl>
    <w:p>
      <w:pPr>
        <w:pStyle w:val="Heading2"/>
      </w:pPr>
      <w:r>
        <w:t>Interaction behaviour</w:t>
      </w:r>
    </w:p>
    <w:p>
      <w:pPr>
        <w:pStyle w:val="ListBullet"/>
      </w:pPr>
      <w:r>
        <w:t>Date filter: limits all dashboard views to the selected period, where the filter is applied to all relevant worksheets.</w:t>
      </w:r>
    </w:p>
    <w:p>
      <w:pPr>
        <w:pStyle w:val="ListBullet"/>
      </w:pPr>
      <w:r>
        <w:t>Region filter: updates the KPIs, monthly trend and heat map to the selected region.</w:t>
      </w:r>
    </w:p>
    <w:p>
      <w:pPr>
        <w:pStyle w:val="ListBullet"/>
      </w:pPr>
      <w:r>
        <w:t>Category filter: lets the viewer focus on a product group and see how its trend and sub-category margins compare.</w:t>
      </w:r>
    </w:p>
    <w:p>
      <w:pPr>
        <w:pStyle w:val="ListBullet"/>
      </w:pPr>
      <w:r>
        <w:t>Heat-map selection: configure as a dashboard filter action so selecting a cell filters the supporting trend or scatter plot. Provide a clear way to reset selections.</w:t>
      </w:r>
    </w:p>
    <w:p>
      <w:pPr>
        <w:pStyle w:val="ListBullet"/>
      </w:pPr>
      <w:r>
        <w:t>Tooltips: show the exact aggregated Sales, Profit, Profit Margin and relevant dimension values without requiring permanent labels on every mark.</w:t>
      </w:r>
    </w:p>
    <w:p>
      <w:pPr>
        <w:pStyle w:val="ListBullet"/>
      </w:pPr>
      <w:r>
        <w:t>Use concise instructions such as 'Select a category or sub-category to explore its performance'.</w:t>
      </w:r>
    </w:p>
    <w:p>
      <w:pPr>
        <w:pStyle w:val="Heading1"/>
      </w:pPr>
      <w:r>
        <w:t>9. Testing and Quality Checks</w:t>
      </w:r>
    </w:p>
    <w:p>
      <w:pPr>
        <w:pStyle w:val="ListBullet"/>
      </w:pPr>
      <w:r>
        <w:t>Confirm calculated fields show no syntax errors and use the exact source field names.</w:t>
      </w:r>
    </w:p>
    <w:p>
      <w:pPr>
        <w:pStyle w:val="ListBullet"/>
      </w:pPr>
      <w:r>
        <w:t>Compare SUM(Sales) and SUM(Profit) in the views against the same totals in the data pane or an existing summary worksheet.</w:t>
      </w:r>
    </w:p>
    <w:p>
      <w:pPr>
        <w:pStyle w:val="ListBullet"/>
      </w:pPr>
      <w:r>
        <w:t>Verify Profit Margin is calculated as SUM(Profit) / SUM(Sales), not AVG(Profit / Sales).</w:t>
      </w:r>
    </w:p>
    <w:p>
      <w:pPr>
        <w:pStyle w:val="ListBullet"/>
      </w:pPr>
      <w:r>
        <w:t>Check the Month-over-Month calculation uses the correct date order and computes across months, not down categories.</w:t>
      </w:r>
    </w:p>
    <w:p>
      <w:pPr>
        <w:pStyle w:val="ListBullet"/>
      </w:pPr>
      <w:r>
        <w:t>Confirm the first month is blank/null for MoM change and investigate any unexpected nulls.</w:t>
      </w:r>
    </w:p>
    <w:p>
      <w:pPr>
        <w:pStyle w:val="ListBullet"/>
      </w:pPr>
      <w:r>
        <w:t>Check that negative Profit Margin values appear on the correct side of the heat-map midpoint.</w:t>
      </w:r>
    </w:p>
    <w:p>
      <w:pPr>
        <w:pStyle w:val="ListBullet"/>
      </w:pPr>
      <w:r>
        <w:t>Test each dashboard filter and filter action, including resetting selections.</w:t>
      </w:r>
    </w:p>
    <w:p>
      <w:pPr>
        <w:pStyle w:val="ListBullet"/>
      </w:pPr>
      <w:r>
        <w:t>Review titles, number formats, axis labels, colour legend, tooltip text and dashboard readability at normal screen size.</w:t>
      </w:r>
    </w:p>
    <w:p>
      <w:pPr>
        <w:pStyle w:val="ListBullet"/>
      </w:pPr>
      <w:r>
        <w:t>Save the updated workbook and capture screenshots of each completed view and the full dashboard.</w:t>
      </w:r>
    </w:p>
    <w:p>
      <w:pPr>
        <w:pStyle w:val="Heading1"/>
      </w:pPr>
      <w:r>
        <w:t>10. Limitations and Responsible Interpretation</w:t>
      </w:r>
    </w:p>
    <w:p>
      <w:r>
        <w:t>The dashboard describes patterns in the dataset; it does not establish causal relationships. A negative association between Discount and Profit, for example, does not by itself prove that discounting caused losses. Results depend on the selected date range, aggregation level, filters and data quality. If the dataset is a sample or synthetic dataset, findings should be presented as portfolio case-study insights rather than claims about an actual company's performance.</w:t>
      </w:r>
    </w:p>
    <w:p>
      <w:pPr>
        <w:pStyle w:val="Heading1"/>
      </w:pPr>
      <w:r>
        <w:t>11. Implementation Log and Evidence Checklist</w:t>
      </w:r>
    </w:p>
    <w:p>
      <w:r>
        <w:t>Complete this checklist after building the views. Do not mark an item complete until it has been verified in Tableau.</w:t>
      </w:r>
    </w:p>
    <w:p>
      <w:pPr>
        <w:pStyle w:val="ListBullet"/>
      </w:pPr>
      <w:r>
        <w:t>☐ Created and validated Profit Margin calculated field.</w:t>
      </w:r>
    </w:p>
    <w:p>
      <w:pPr>
        <w:pStyle w:val="ListBullet"/>
      </w:pPr>
      <w:r>
        <w:t>☐ Created and validated Month-over-Month Sales Change table calculation.</w:t>
      </w:r>
    </w:p>
    <w:p>
      <w:pPr>
        <w:pStyle w:val="ListBullet"/>
      </w:pPr>
      <w:r>
        <w:t>☐ Built and formatted the dual-axis monthly Sales and Profit trend.</w:t>
      </w:r>
    </w:p>
    <w:p>
      <w:pPr>
        <w:pStyle w:val="ListBullet"/>
      </w:pPr>
      <w:r>
        <w:t>☐ Built and formatted the profitability heat map.</w:t>
      </w:r>
    </w:p>
    <w:p>
      <w:pPr>
        <w:pStyle w:val="ListBullet"/>
      </w:pPr>
      <w:r>
        <w:t>☐ Added tooltips and tested dashboard filters/actions.</w:t>
      </w:r>
    </w:p>
    <w:p>
      <w:pPr>
        <w:pStyle w:val="ListBullet"/>
      </w:pPr>
      <w:r>
        <w:t>☐ Saved the updated Tableau workbook.</w:t>
      </w:r>
    </w:p>
    <w:p>
      <w:pPr>
        <w:pStyle w:val="ListBullet"/>
      </w:pPr>
      <w:r>
        <w:t>☐ Captured screenshots of the two advanced worksheets and the final dashboard.</w:t>
      </w:r>
    </w:p>
    <w:p>
      <w:pPr>
        <w:pStyle w:val="ListBullet"/>
      </w:pPr>
      <w:r>
        <w:t>☐ Reviewed this report so that it describes the final implementation accurately.</w:t>
      </w:r>
    </w:p>
    <w:p>
      <w:pPr>
        <w:pStyle w:val="Heading1"/>
      </w:pPr>
      <w:r>
        <w:t>12. Conclusion</w:t>
      </w:r>
    </w:p>
    <w:p>
      <w:r>
        <w:t>The proposed Week 4 approach combines advanced visual encoding with meaningful calculations. The dual-axis trend supports time-based comparison, the heat map highlights profitability differences across product groups, and the month-over-month calculation quantifies changes in sales. Together, these elements create a more interactive and interpretable analysis than isolated totals alone. The final submission should include the updated Tableau workbook and screenshots that demonstrate the implemented views, alongside this report.</w:t>
      </w:r>
    </w:p>
    <w:p>
      <w:pPr>
        <w:pStyle w:val="Heading1"/>
      </w:pPr>
      <w:r>
        <w:t>Appendix A. Formula Reference</w:t>
      </w:r>
    </w:p>
    <w:p>
      <w:r>
        <w:rPr>
          <w:rFonts w:ascii="Times New Roman" w:hAnsi="Times New Roman"/>
          <w:b/>
        </w:rPr>
        <w:t xml:space="preserve">Profit Margin: </w:t>
      </w:r>
      <w:r>
        <w:rPr>
          <w:rFonts w:ascii="Consolas" w:hAnsi="Consolas"/>
          <w:sz w:val="19"/>
        </w:rPr>
        <w:t>IF SUM([Sales]) = 0 THEN NULL ELSE SUM([Profit]) / SUM([Sales]) END</w:t>
      </w:r>
    </w:p>
    <w:p>
      <w:r>
        <w:rPr>
          <w:rFonts w:ascii="Times New Roman" w:hAnsi="Times New Roman"/>
          <w:b/>
        </w:rPr>
        <w:t xml:space="preserve">Average Discount: </w:t>
      </w:r>
      <w:r>
        <w:rPr>
          <w:rFonts w:ascii="Consolas" w:hAnsi="Consolas"/>
          <w:sz w:val="19"/>
        </w:rPr>
        <w:t>AVG([Discount])</w:t>
      </w:r>
    </w:p>
    <w:p>
      <w:r>
        <w:rPr>
          <w:rFonts w:ascii="Times New Roman" w:hAnsi="Times New Roman"/>
          <w:b/>
        </w:rPr>
        <w:t xml:space="preserve">Sales per Order: </w:t>
      </w:r>
      <w:r>
        <w:rPr>
          <w:rFonts w:ascii="Consolas" w:hAnsi="Consolas"/>
          <w:sz w:val="19"/>
        </w:rPr>
        <w:t>SUM([Sales]) / COUNTD([Order ID])</w:t>
      </w:r>
    </w:p>
    <w:p>
      <w:r>
        <w:rPr>
          <w:rFonts w:ascii="Times New Roman" w:hAnsi="Times New Roman"/>
          <w:b/>
        </w:rPr>
        <w:t xml:space="preserve">MoM Sales Change (%): </w:t>
      </w:r>
      <w:r>
        <w:rPr>
          <w:rFonts w:ascii="Consolas" w:hAnsi="Consolas"/>
          <w:sz w:val="19"/>
        </w:rPr>
        <w:t>IF ABS(LOOKUP(SUM([Sales]), -1)) = 0 THEN NULL ELSE (SUM([Sales]) - LOOKUP(SUM([Sales]), -1)) / ABS(LOOKUP(SUM([Sales]), -1)) END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