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2"/>
          <w:szCs w:val="32"/>
        </w:rPr>
        <w:t xml:space="preserve">Mock API vs Real Source — Forecasting Data</w:t>
      </w:r>
    </w:p>
    <w:p>
      <w:pPr>
        <w:pBdr>
          <w:bottom w:val="single" w:color="1F3864" w:sz="6" w:space="6"/>
        </w:pBdr>
        <w:spacing w:after="240"/>
      </w:pPr>
      <w:r>
        <w:rPr>
          <w:rFonts w:ascii="Calibri" w:cs="Calibri" w:eastAsia="Calibri" w:hAnsi="Calibri"/>
          <w:i/>
          <w:iCs/>
          <w:color w:val="595959"/>
          <w:sz w:val="18"/>
          <w:szCs w:val="18"/>
        </w:rPr>
        <w:t xml:space="preserve">Sodexo Healthcare Labor Forecasting POC   ·   Sandbox testing results, 15 September 2026</w:t>
      </w:r>
    </w:p>
    <w:p>
      <w:pPr>
        <w:spacing w:after="120"/>
      </w:pPr>
      <w:r>
        <w:rPr>
          <w:rFonts w:ascii="Calibri" w:cs="Calibri" w:eastAsia="Calibri" w:hAnsi="Calibri"/>
          <w:sz w:val="19"/>
          <w:szCs w:val="19"/>
        </w:rPr>
        <w:t xml:space="preserve">Forecasting draws on three sources only. Each was tested against its real sandbox: a connector was built, authenticated and run. This document records, field by field, what the mock API supplies today against what the real source actually returned.</w:t>
      </w:r>
    </w:p>
    <w:p>
      <w:pPr>
        <w:pStyle w:val="Heading2"/>
        <w:spacing w:after="140" w:before="320"/>
      </w:pPr>
      <w:r>
        <w:rPr>
          <w:rFonts w:ascii="Calibri" w:cs="Calibri" w:eastAsia="Calibri" w:hAnsi="Calibri"/>
          <w:b/>
          <w:bCs/>
          <w:color w:val="1F3864"/>
          <w:sz w:val="24"/>
          <w:szCs w:val="24"/>
        </w:rPr>
        <w:t xml:space="preserve">Field-by-field comparison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20"/>
        <w:gridCol w:w="3000"/>
        <w:gridCol w:w="1700"/>
        <w:gridCol w:w="2560"/>
        <w:gridCol w:w="5800"/>
      </w:tblGrid>
      <w:tr>
        <w:trPr>
          <w:tblHeader/>
        </w:trPr>
        <w:tc>
          <w:tcPr>
            <w:tcW w:type="dxa" w:w="620"/>
            <w:shd w:fill="1F3864" w:val="clear"/>
            <w:tcMar>
              <w:top w:type="dxa" w:w="60"/>
              <w:left w:type="dxa" w:w="100"/>
              <w:bottom w:type="dxa" w:w="60"/>
              <w:right w:type="dxa" w:w="100"/>
            </w:tcMar>
            <w:vAlign w:val="center"/>
          </w:tcPr>
          <w:p>
            <w:pPr>
              <w:spacing w:after="20" w:before="20"/>
              <w:jc w:val="center"/>
            </w:pPr>
            <w:r>
              <w:rPr>
                <w:rFonts w:ascii="Calibri" w:cs="Calibri" w:eastAsia="Calibri" w:hAnsi="Calibri"/>
                <w:b/>
                <w:bCs/>
                <w:color w:val="FFFFFF"/>
                <w:sz w:val="18"/>
                <w:szCs w:val="18"/>
              </w:rPr>
              <w:t xml:space="preserve">#</w:t>
            </w:r>
          </w:p>
        </w:tc>
        <w:tc>
          <w:tcPr>
            <w:tcW w:type="dxa" w:w="3000"/>
            <w:shd w:fill="1F3864" w:val="clear"/>
            <w:tcMar>
              <w:top w:type="dxa" w:w="60"/>
              <w:left w:type="dxa" w:w="100"/>
              <w:bottom w:type="dxa" w:w="60"/>
              <w:right w:type="dxa" w:w="100"/>
            </w:tcMar>
            <w:vAlign w:val="center"/>
          </w:tcPr>
          <w:p>
            <w:pPr>
              <w:spacing w:after="20" w:before="20"/>
              <w:jc w:val="left"/>
            </w:pPr>
            <w:r>
              <w:rPr>
                <w:rFonts w:ascii="Calibri" w:cs="Calibri" w:eastAsia="Calibri" w:hAnsi="Calibri"/>
                <w:b/>
                <w:bCs/>
                <w:color w:val="FFFFFF"/>
                <w:sz w:val="18"/>
                <w:szCs w:val="18"/>
              </w:rPr>
              <w:t xml:space="preserve">Data field</w:t>
            </w:r>
          </w:p>
        </w:tc>
        <w:tc>
          <w:tcPr>
            <w:tcW w:type="dxa" w:w="1700"/>
            <w:shd w:fill="1F3864" w:val="clear"/>
            <w:tcMar>
              <w:top w:type="dxa" w:w="60"/>
              <w:left w:type="dxa" w:w="100"/>
              <w:bottom w:type="dxa" w:w="60"/>
              <w:right w:type="dxa" w:w="100"/>
            </w:tcMar>
            <w:vAlign w:val="center"/>
          </w:tcPr>
          <w:p>
            <w:pPr>
              <w:spacing w:after="20" w:before="20"/>
              <w:jc w:val="left"/>
            </w:pPr>
            <w:r>
              <w:rPr>
                <w:rFonts w:ascii="Calibri" w:cs="Calibri" w:eastAsia="Calibri" w:hAnsi="Calibri"/>
                <w:b/>
                <w:bCs/>
                <w:color w:val="FFFFFF"/>
                <w:sz w:val="18"/>
                <w:szCs w:val="18"/>
              </w:rPr>
              <w:t xml:space="preserve">Mock API</w:t>
            </w:r>
          </w:p>
        </w:tc>
        <w:tc>
          <w:tcPr>
            <w:tcW w:type="dxa" w:w="2560"/>
            <w:shd w:fill="1F3864" w:val="clear"/>
            <w:tcMar>
              <w:top w:type="dxa" w:w="60"/>
              <w:left w:type="dxa" w:w="100"/>
              <w:bottom w:type="dxa" w:w="60"/>
              <w:right w:type="dxa" w:w="100"/>
            </w:tcMar>
            <w:vAlign w:val="center"/>
          </w:tcPr>
          <w:p>
            <w:pPr>
              <w:spacing w:after="20" w:before="20"/>
              <w:jc w:val="left"/>
            </w:pPr>
            <w:r>
              <w:rPr>
                <w:rFonts w:ascii="Calibri" w:cs="Calibri" w:eastAsia="Calibri" w:hAnsi="Calibri"/>
                <w:b/>
                <w:bCs/>
                <w:color w:val="FFFFFF"/>
                <w:sz w:val="18"/>
                <w:szCs w:val="18"/>
              </w:rPr>
              <w:t xml:space="preserve">Real source (as tested)</w:t>
            </w:r>
          </w:p>
        </w:tc>
        <w:tc>
          <w:tcPr>
            <w:tcW w:type="dxa" w:w="5800"/>
            <w:shd w:fill="1F3864" w:val="clear"/>
            <w:tcMar>
              <w:top w:type="dxa" w:w="60"/>
              <w:left w:type="dxa" w:w="100"/>
              <w:bottom w:type="dxa" w:w="60"/>
              <w:right w:type="dxa" w:w="100"/>
            </w:tcMar>
            <w:vAlign w:val="center"/>
          </w:tcPr>
          <w:p>
            <w:pPr>
              <w:spacing w:after="20" w:before="20"/>
              <w:jc w:val="left"/>
            </w:pPr>
            <w:r>
              <w:rPr>
                <w:rFonts w:ascii="Calibri" w:cs="Calibri" w:eastAsia="Calibri" w:hAnsi="Calibri"/>
                <w:b/>
                <w:bCs/>
                <w:color w:val="FFFFFF"/>
                <w:sz w:val="18"/>
                <w:szCs w:val="18"/>
              </w:rPr>
              <w:t xml:space="preserve">Remarks</w:t>
            </w:r>
          </w:p>
        </w:tc>
      </w:tr>
      <w:tr>
        <w:tc>
          <w:tcPr>
            <w:tcW w:type="dxa" w:w="13680"/>
            <w:gridSpan w:val="5"/>
            <w:shd w:fill="D9E2F3" w:val="clear"/>
            <w:tcMar>
              <w:top w:type="dxa" w:w="90"/>
              <w:left w:type="dxa" w:w="100"/>
              <w:bottom w:type="dxa" w:w="90"/>
              <w:right w:type="dxa" w:w="100"/>
            </w:tcMar>
          </w:tcPr>
          <w:p>
            <w:r>
              <w:rPr>
                <w:rFonts w:ascii="Calibri" w:cs="Calibri" w:eastAsia="Calibri" w:hAnsi="Calibri"/>
                <w:b/>
                <w:bCs/>
                <w:sz w:val="20"/>
                <w:szCs w:val="20"/>
              </w:rPr>
              <w:t xml:space="preserve">1. HOLIDAYS</w:t>
            </w:r>
            <w:r>
              <w:rPr>
                <w:rFonts w:ascii="Calibri" w:cs="Calibri" w:eastAsia="Calibri" w:hAnsi="Calibri"/>
                <w:i/>
                <w:iCs/>
                <w:sz w:val="17"/>
                <w:szCs w:val="17"/>
              </w:rPr>
              <w:t xml:space="preserve">   /mock/external/holidays  →  date.nager.at  —  WORKING, no login required</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holiday_date</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 "date"</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Direct match.</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holiday_name</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 "localName"</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Direct match.</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3</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demand_multiplier</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(0.56–0.82)</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No holiday API publishes this. It is a Sodexo business assumption, and the mock values are inconsistent (Christmas 0.81 in 2024, 0.64 in 2025).</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4</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Holidays in date range</w:t>
            </w:r>
          </w:p>
        </w:tc>
        <w:tc>
          <w:tcPr>
            <w:tcW w:type="dxa" w:w="17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6</w:t>
            </w:r>
          </w:p>
        </w:tc>
        <w:tc>
          <w:tcPr>
            <w:tcW w:type="dxa" w:w="256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24</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Real data is 4x richer. The mock had no MLK Day, Memorial Day, Juneteenth, Veterans Day or Washington's Birthday, and nothing at all in 2026.</w:t>
            </w:r>
          </w:p>
        </w:tc>
      </w:tr>
      <w:tr>
        <w:tc>
          <w:tcPr>
            <w:tcW w:type="dxa" w:w="13680"/>
            <w:gridSpan w:val="5"/>
            <w:shd w:fill="D9E2F3" w:val="clear"/>
            <w:tcMar>
              <w:top w:type="dxa" w:w="90"/>
              <w:left w:type="dxa" w:w="100"/>
              <w:bottom w:type="dxa" w:w="90"/>
              <w:right w:type="dxa" w:w="100"/>
            </w:tcMar>
          </w:tcPr>
          <w:p>
            <w:r>
              <w:rPr>
                <w:rFonts w:ascii="Calibri" w:cs="Calibri" w:eastAsia="Calibri" w:hAnsi="Calibri"/>
                <w:b/>
                <w:bCs/>
                <w:sz w:val="20"/>
                <w:szCs w:val="20"/>
              </w:rPr>
              <w:t xml:space="preserve">2. CAFÉ SALES</w:t>
            </w:r>
            <w:r>
              <w:rPr>
                <w:rFonts w:ascii="Calibri" w:cs="Calibri" w:eastAsia="Calibri" w:hAnsi="Calibri"/>
                <w:i/>
                <w:iCs/>
                <w:sz w:val="17"/>
                <w:szCs w:val="17"/>
              </w:rPr>
              <w:t xml:space="preserve">   /mock/pos/cafe-sales  →  Square sandbox  —  CONNECTOR WORKS, store is empty</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5</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location_id</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 Order.location_id</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Direct.</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6</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business_date</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 from closed_at</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Must convert UTC to the café's local timezone first, or a 10pm sale lands on the wrong trading day.</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7</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hour_of_day</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 from closed_at</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Same conversion.</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8</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sales_amount</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 total_money ÷ 100</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Square returns cents, not dollars. Missing the division reports every sale as 100x its value.</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9</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transaction_count</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 COUNT of orders</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Aggregated per location per hour.</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10</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promotion_flag</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FF2CC"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Partial — discounts present</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Proxy only. Square has no "promotion" concept; a discounted order is the closest observable signal.</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11</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event_flag</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No equivalent in Square. Would need a local events calendar.</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12</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required_cafe_associates</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Sodexo internal role split.</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13</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required_cafe_supervisors</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Sodexo internal role split.</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14</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primary_required_skill_id / _name</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Sodexo internal.</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15</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required_manpower</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FORECAST TARGET. Computed as transactions ÷ 4.0 per FTE. No POS vendor knows your staffing ratio.</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16</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History available</w:t>
            </w:r>
          </w:p>
        </w:tc>
        <w:tc>
          <w:tcPr>
            <w:tcW w:type="dxa" w:w="17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2 years hourly (20,440 rows)</w:t>
            </w:r>
          </w:p>
        </w:tc>
        <w:tc>
          <w:tcPr>
            <w:tcW w:type="dxa" w:w="256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0 rows until seeded</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The sandbox is an empty shop — you only get back what you put in. We created 40 test orders via the API to prove the pull works.</w:t>
            </w:r>
          </w:p>
        </w:tc>
      </w:tr>
      <w:tr>
        <w:tc>
          <w:tcPr>
            <w:tcW w:type="dxa" w:w="13680"/>
            <w:gridSpan w:val="5"/>
            <w:shd w:fill="D9E2F3" w:val="clear"/>
            <w:tcMar>
              <w:top w:type="dxa" w:w="90"/>
              <w:left w:type="dxa" w:w="100"/>
              <w:bottom w:type="dxa" w:w="90"/>
              <w:right w:type="dxa" w:w="100"/>
            </w:tcMar>
          </w:tcPr>
          <w:p>
            <w:r>
              <w:rPr>
                <w:rFonts w:ascii="Calibri" w:cs="Calibri" w:eastAsia="Calibri" w:hAnsi="Calibri"/>
                <w:b/>
                <w:bCs/>
                <w:sz w:val="20"/>
                <w:szCs w:val="20"/>
              </w:rPr>
              <w:t xml:space="preserve">3. CENSUS</w:t>
            </w:r>
            <w:r>
              <w:rPr>
                <w:rFonts w:ascii="Calibri" w:cs="Calibri" w:eastAsia="Calibri" w:hAnsi="Calibri"/>
                <w:i/>
                <w:iCs/>
                <w:sz w:val="17"/>
                <w:szCs w:val="17"/>
              </w:rPr>
              <w:t xml:space="preserve">   /mock/adt/census  →  Epic FHIR sandbox  —  CONNECTOR WORKS, census not obtainable</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17</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occupied_beds</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FF2CC"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Partial — one patient only</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Derived by counting open Encounter.period spans. Epic refuses any site-wide query (fatal business rule requires patient or _id).</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18</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business_date / hour_of_day</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 — from period.start</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336 hourly rows derived from 11 encounters for a single test patient.</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19</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admissions_count</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An HL7 v2 ADT feed could supply this. The FHIR API cannot.</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20</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discharges_count</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Same — ADT feed only.</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21</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transfers_count</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Same — ADT feed only.</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22</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meals_served</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Not a hospital system field at all. Comes from a food service system, or is derived as a ratio of occupancy.</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23</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required_tray_line_associates</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Sodexo internal role split.</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24</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required_nutrition_supervisors</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Sodexo internal role split.</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25</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primary_required_skill_id / _name</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Sodexo internal.</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26</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required_manpower</w:t>
            </w:r>
          </w:p>
        </w:tc>
        <w:tc>
          <w:tcPr>
            <w:tcW w:type="dxa" w:w="17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Yes</w:t>
            </w:r>
          </w:p>
        </w:tc>
        <w:tc>
          <w:tcPr>
            <w:tcW w:type="dxa" w:w="256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No</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FORECAST TARGET. Computed from occupied_beds and admissions_count using Sodexo staffing ratios.</w:t>
            </w:r>
          </w:p>
        </w:tc>
      </w:tr>
      <w:tr>
        <w:tc>
          <w:tcPr>
            <w:tcW w:type="dxa" w:w="620"/>
            <w:tcMar>
              <w:top w:type="dxa" w:w="60"/>
              <w:left w:type="dxa" w:w="100"/>
              <w:bottom w:type="dxa" w:w="60"/>
              <w:right w:type="dxa" w:w="100"/>
            </w:tcMar>
            <w:vAlign w:val="center"/>
          </w:tcPr>
          <w:p>
            <w:pPr>
              <w:spacing w:after="20" w:before="20"/>
              <w:jc w:val="center"/>
            </w:pPr>
            <w:r>
              <w:rPr>
                <w:rFonts w:ascii="Calibri" w:cs="Calibri" w:eastAsia="Calibri" w:hAnsi="Calibri"/>
                <w:b w:val="false"/>
                <w:bCs w:val="false"/>
                <w:sz w:val="18"/>
                <w:szCs w:val="18"/>
              </w:rPr>
              <w:t xml:space="preserve">27</w:t>
            </w:r>
          </w:p>
        </w:tc>
        <w:tc>
          <w:tcPr>
            <w:tcW w:type="dxa" w:w="30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History available</w:t>
            </w:r>
          </w:p>
        </w:tc>
        <w:tc>
          <w:tcPr>
            <w:tcW w:type="dxa" w:w="17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2 years hourly (35,040 rows)</w:t>
            </w:r>
          </w:p>
        </w:tc>
        <w:tc>
          <w:tcPr>
            <w:tcW w:type="dxa" w:w="256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11 encounters, 1 patient</w:t>
            </w:r>
          </w:p>
        </w:tc>
        <w:tc>
          <w:tcPr>
            <w:tcW w:type="dxa" w:w="58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Epic's synthetic patients are fixed — you cannot add your own data, unlike Square.</w:t>
            </w:r>
          </w:p>
        </w:tc>
      </w:tr>
    </w:tbl>
    <w:p>
      <w:pPr>
        <w:pStyle w:val="Heading2"/>
        <w:spacing w:after="140" w:before="320"/>
      </w:pPr>
      <w:r>
        <w:rPr>
          <w:rFonts w:ascii="Calibri" w:cs="Calibri" w:eastAsia="Calibri" w:hAnsi="Calibri"/>
          <w:b/>
          <w:bCs/>
          <w:color w:val="1F3864"/>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9280"/>
      </w:tblGrid>
      <w:tr>
        <w:trPr>
          <w:tblHeader/>
        </w:trPr>
        <w:tc>
          <w:tcPr>
            <w:tcW w:type="dxa" w:w="3200"/>
            <w:shd w:fill="1F3864" w:val="clear"/>
            <w:tcMar>
              <w:top w:type="dxa" w:w="60"/>
              <w:left w:type="dxa" w:w="100"/>
              <w:bottom w:type="dxa" w:w="60"/>
              <w:right w:type="dxa" w:w="100"/>
            </w:tcMar>
            <w:vAlign w:val="center"/>
          </w:tcPr>
          <w:p>
            <w:pPr>
              <w:spacing w:after="20" w:before="20"/>
              <w:jc w:val="center"/>
            </w:pPr>
            <w:r>
              <w:rPr>
                <w:rFonts w:ascii="Calibri" w:cs="Calibri" w:eastAsia="Calibri" w:hAnsi="Calibri"/>
                <w:b/>
                <w:bCs/>
                <w:color w:val="FFFFFF"/>
                <w:sz w:val="18"/>
                <w:szCs w:val="18"/>
              </w:rPr>
              <w:t xml:space="preserve">Verdict</w:t>
            </w:r>
          </w:p>
        </w:tc>
        <w:tc>
          <w:tcPr>
            <w:tcW w:type="dxa" w:w="1200"/>
            <w:shd w:fill="1F3864" w:val="clear"/>
            <w:tcMar>
              <w:top w:type="dxa" w:w="60"/>
              <w:left w:type="dxa" w:w="100"/>
              <w:bottom w:type="dxa" w:w="60"/>
              <w:right w:type="dxa" w:w="100"/>
            </w:tcMar>
            <w:vAlign w:val="center"/>
          </w:tcPr>
          <w:p>
            <w:pPr>
              <w:spacing w:after="20" w:before="20"/>
              <w:jc w:val="left"/>
            </w:pPr>
            <w:r>
              <w:rPr>
                <w:rFonts w:ascii="Calibri" w:cs="Calibri" w:eastAsia="Calibri" w:hAnsi="Calibri"/>
                <w:b/>
                <w:bCs/>
                <w:color w:val="FFFFFF"/>
                <w:sz w:val="18"/>
                <w:szCs w:val="18"/>
              </w:rPr>
              <w:t xml:space="preserve">Fields</w:t>
            </w:r>
          </w:p>
        </w:tc>
        <w:tc>
          <w:tcPr>
            <w:tcW w:type="dxa" w:w="9280"/>
            <w:shd w:fill="1F3864" w:val="clear"/>
            <w:tcMar>
              <w:top w:type="dxa" w:w="60"/>
              <w:left w:type="dxa" w:w="100"/>
              <w:bottom w:type="dxa" w:w="60"/>
              <w:right w:type="dxa" w:w="100"/>
            </w:tcMar>
            <w:vAlign w:val="center"/>
          </w:tcPr>
          <w:p>
            <w:pPr>
              <w:spacing w:after="20" w:before="20"/>
              <w:jc w:val="left"/>
            </w:pPr>
            <w:r>
              <w:rPr>
                <w:rFonts w:ascii="Calibri" w:cs="Calibri" w:eastAsia="Calibri" w:hAnsi="Calibri"/>
                <w:b/>
                <w:bCs/>
                <w:color w:val="FFFFFF"/>
                <w:sz w:val="18"/>
                <w:szCs w:val="18"/>
              </w:rPr>
              <w:t xml:space="preserve">Which fields</w:t>
            </w:r>
          </w:p>
        </w:tc>
      </w:tr>
      <w:tr>
        <w:tc>
          <w:tcPr>
            <w:tcW w:type="dxa" w:w="32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bCs/>
                <w:sz w:val="18"/>
                <w:szCs w:val="18"/>
              </w:rPr>
              <w:t xml:space="preserve">Real source provides</w:t>
            </w:r>
          </w:p>
        </w:tc>
        <w:tc>
          <w:tcPr>
            <w:tcW w:type="dxa" w:w="1200"/>
            <w:shd w:fill="E2EFDA" w:val="clear"/>
            <w:tcMar>
              <w:top w:type="dxa" w:w="60"/>
              <w:left w:type="dxa" w:w="100"/>
              <w:bottom w:type="dxa" w:w="60"/>
              <w:right w:type="dxa" w:w="100"/>
            </w:tcMar>
            <w:vAlign w:val="center"/>
          </w:tcPr>
          <w:p>
            <w:pPr>
              <w:spacing w:after="20" w:before="20"/>
              <w:jc w:val="center"/>
            </w:pPr>
            <w:r>
              <w:rPr>
                <w:rFonts w:ascii="Calibri" w:cs="Calibri" w:eastAsia="Calibri" w:hAnsi="Calibri"/>
                <w:b/>
                <w:bCs/>
                <w:sz w:val="18"/>
                <w:szCs w:val="18"/>
              </w:rPr>
              <w:t xml:space="preserve">9</w:t>
            </w:r>
          </w:p>
        </w:tc>
        <w:tc>
          <w:tcPr>
            <w:tcW w:type="dxa" w:w="928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Dates, hours, location, sales amount, transaction count, holiday date and name, bed occupancy</w:t>
            </w:r>
          </w:p>
        </w:tc>
      </w:tr>
      <w:tr>
        <w:tc>
          <w:tcPr>
            <w:tcW w:type="dxa" w:w="3200"/>
            <w:shd w:fill="FFF2CC" w:val="clear"/>
            <w:tcMar>
              <w:top w:type="dxa" w:w="60"/>
              <w:left w:type="dxa" w:w="100"/>
              <w:bottom w:type="dxa" w:w="60"/>
              <w:right w:type="dxa" w:w="100"/>
            </w:tcMar>
            <w:vAlign w:val="center"/>
          </w:tcPr>
          <w:p>
            <w:pPr>
              <w:spacing w:after="20" w:before="20"/>
              <w:jc w:val="left"/>
            </w:pPr>
            <w:r>
              <w:rPr>
                <w:rFonts w:ascii="Calibri" w:cs="Calibri" w:eastAsia="Calibri" w:hAnsi="Calibri"/>
                <w:b/>
                <w:bCs/>
                <w:sz w:val="18"/>
                <w:szCs w:val="18"/>
              </w:rPr>
              <w:t xml:space="preserve">Approximated / limited</w:t>
            </w:r>
          </w:p>
        </w:tc>
        <w:tc>
          <w:tcPr>
            <w:tcW w:type="dxa" w:w="1200"/>
            <w:shd w:fill="FFF2CC" w:val="clear"/>
            <w:tcMar>
              <w:top w:type="dxa" w:w="60"/>
              <w:left w:type="dxa" w:w="100"/>
              <w:bottom w:type="dxa" w:w="60"/>
              <w:right w:type="dxa" w:w="100"/>
            </w:tcMar>
            <w:vAlign w:val="center"/>
          </w:tcPr>
          <w:p>
            <w:pPr>
              <w:spacing w:after="20" w:before="20"/>
              <w:jc w:val="center"/>
            </w:pPr>
            <w:r>
              <w:rPr>
                <w:rFonts w:ascii="Calibri" w:cs="Calibri" w:eastAsia="Calibri" w:hAnsi="Calibri"/>
                <w:b/>
                <w:bCs/>
                <w:sz w:val="18"/>
                <w:szCs w:val="18"/>
              </w:rPr>
              <w:t xml:space="preserve">2</w:t>
            </w:r>
          </w:p>
        </w:tc>
        <w:tc>
          <w:tcPr>
            <w:tcW w:type="dxa" w:w="928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promotion_flag (discount proxy), occupied_beds (single patient only)</w:t>
            </w:r>
          </w:p>
        </w:tc>
      </w:tr>
      <w:tr>
        <w:tc>
          <w:tcPr>
            <w:tcW w:type="dxa" w:w="320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bCs/>
                <w:sz w:val="18"/>
                <w:szCs w:val="18"/>
              </w:rPr>
              <w:t xml:space="preserve">No source provides</w:t>
            </w:r>
          </w:p>
        </w:tc>
        <w:tc>
          <w:tcPr>
            <w:tcW w:type="dxa" w:w="1200"/>
            <w:shd w:fill="FCE4E4" w:val="clear"/>
            <w:tcMar>
              <w:top w:type="dxa" w:w="60"/>
              <w:left w:type="dxa" w:w="100"/>
              <w:bottom w:type="dxa" w:w="60"/>
              <w:right w:type="dxa" w:w="100"/>
            </w:tcMar>
            <w:vAlign w:val="center"/>
          </w:tcPr>
          <w:p>
            <w:pPr>
              <w:spacing w:after="20" w:before="20"/>
              <w:jc w:val="center"/>
            </w:pPr>
            <w:r>
              <w:rPr>
                <w:rFonts w:ascii="Calibri" w:cs="Calibri" w:eastAsia="Calibri" w:hAnsi="Calibri"/>
                <w:b/>
                <w:bCs/>
                <w:sz w:val="18"/>
                <w:szCs w:val="18"/>
              </w:rPr>
              <w:t xml:space="preserve">14</w:t>
            </w:r>
          </w:p>
        </w:tc>
        <w:tc>
          <w:tcPr>
            <w:tcW w:type="dxa" w:w="928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All required_* staffing fields, event_flag, meals_served, demand_multiplier, admissions / discharges / transfers counts</w:t>
            </w:r>
          </w:p>
        </w:tc>
      </w:tr>
    </w:tbl>
    <w:p>
      <w:pPr>
        <w:pStyle w:val="Heading2"/>
        <w:spacing w:after="140" w:before="320"/>
      </w:pPr>
      <w:r>
        <w:rPr>
          <w:rFonts w:ascii="Calibri" w:cs="Calibri" w:eastAsia="Calibri" w:hAnsi="Calibri"/>
          <w:b/>
          <w:bCs/>
          <w:color w:val="1F3864"/>
          <w:sz w:val="24"/>
          <w:szCs w:val="24"/>
        </w:rPr>
        <w:t xml:space="preserve">Position per mock endpoint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6880"/>
      </w:tblGrid>
      <w:tr>
        <w:trPr>
          <w:tblHeader/>
        </w:trPr>
        <w:tc>
          <w:tcPr>
            <w:tcW w:type="dxa" w:w="3400"/>
            <w:shd w:fill="1F3864" w:val="clear"/>
            <w:tcMar>
              <w:top w:type="dxa" w:w="60"/>
              <w:left w:type="dxa" w:w="100"/>
              <w:bottom w:type="dxa" w:w="60"/>
              <w:right w:type="dxa" w:w="100"/>
            </w:tcMar>
            <w:vAlign w:val="center"/>
          </w:tcPr>
          <w:p>
            <w:pPr>
              <w:spacing w:after="20" w:before="20"/>
              <w:jc w:val="center"/>
            </w:pPr>
            <w:r>
              <w:rPr>
                <w:rFonts w:ascii="Calibri" w:cs="Calibri" w:eastAsia="Calibri" w:hAnsi="Calibri"/>
                <w:b/>
                <w:bCs/>
                <w:color w:val="FFFFFF"/>
                <w:sz w:val="18"/>
                <w:szCs w:val="18"/>
              </w:rPr>
              <w:t xml:space="preserve">Mock endpoint</w:t>
            </w:r>
          </w:p>
        </w:tc>
        <w:tc>
          <w:tcPr>
            <w:tcW w:type="dxa" w:w="3400"/>
            <w:shd w:fill="1F3864" w:val="clear"/>
            <w:tcMar>
              <w:top w:type="dxa" w:w="60"/>
              <w:left w:type="dxa" w:w="100"/>
              <w:bottom w:type="dxa" w:w="60"/>
              <w:right w:type="dxa" w:w="100"/>
            </w:tcMar>
            <w:vAlign w:val="center"/>
          </w:tcPr>
          <w:p>
            <w:pPr>
              <w:spacing w:after="20" w:before="20"/>
              <w:jc w:val="left"/>
            </w:pPr>
            <w:r>
              <w:rPr>
                <w:rFonts w:ascii="Calibri" w:cs="Calibri" w:eastAsia="Calibri" w:hAnsi="Calibri"/>
                <w:b/>
                <w:bCs/>
                <w:color w:val="FFFFFF"/>
                <w:sz w:val="18"/>
                <w:szCs w:val="18"/>
              </w:rPr>
              <w:t xml:space="preserve">Status</w:t>
            </w:r>
          </w:p>
        </w:tc>
        <w:tc>
          <w:tcPr>
            <w:tcW w:type="dxa" w:w="6880"/>
            <w:shd w:fill="1F3864" w:val="clear"/>
            <w:tcMar>
              <w:top w:type="dxa" w:w="60"/>
              <w:left w:type="dxa" w:w="100"/>
              <w:bottom w:type="dxa" w:w="60"/>
              <w:right w:type="dxa" w:w="100"/>
            </w:tcMar>
            <w:vAlign w:val="center"/>
          </w:tcPr>
          <w:p>
            <w:pPr>
              <w:spacing w:after="20" w:before="20"/>
              <w:jc w:val="left"/>
            </w:pPr>
            <w:r>
              <w:rPr>
                <w:rFonts w:ascii="Calibri" w:cs="Calibri" w:eastAsia="Calibri" w:hAnsi="Calibri"/>
                <w:b/>
                <w:bCs/>
                <w:color w:val="FFFFFF"/>
                <w:sz w:val="18"/>
                <w:szCs w:val="18"/>
              </w:rPr>
              <w:t xml:space="preserve">What is blocking it</w:t>
            </w:r>
          </w:p>
        </w:tc>
      </w:tr>
      <w:tr>
        <w:tc>
          <w:tcPr>
            <w:tcW w:type="dxa" w:w="34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/mock/external/holidays</w:t>
            </w:r>
          </w:p>
        </w:tc>
        <w:tc>
          <w:tcPr>
            <w:tcW w:type="dxa" w:w="3400"/>
            <w:shd w:fill="E2EFDA" w:val="clear"/>
            <w:tcMar>
              <w:top w:type="dxa" w:w="60"/>
              <w:left w:type="dxa" w:w="100"/>
              <w:bottom w:type="dxa" w:w="60"/>
              <w:right w:type="dxa" w:w="100"/>
            </w:tcMar>
            <w:vAlign w:val="center"/>
          </w:tcPr>
          <w:p>
            <w:pPr>
              <w:spacing w:after="20" w:before="20"/>
              <w:jc w:val="left"/>
            </w:pPr>
            <w:r>
              <w:rPr>
                <w:rFonts w:ascii="Calibri" w:cs="Calibri" w:eastAsia="Calibri" w:hAnsi="Calibri"/>
                <w:b/>
                <w:bCs/>
                <w:sz w:val="18"/>
                <w:szCs w:val="18"/>
              </w:rPr>
              <w:t xml:space="preserve">Replaceable now</w:t>
            </w:r>
          </w:p>
        </w:tc>
        <w:tc>
          <w:tcPr>
            <w:tcW w:type="dxa" w:w="688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Nothing. Free, no login, real data available today.</w:t>
            </w:r>
          </w:p>
        </w:tc>
      </w:tr>
      <w:tr>
        <w:tc>
          <w:tcPr>
            <w:tcW w:type="dxa" w:w="34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/mock/pos/cafe-sales</w:t>
            </w:r>
          </w:p>
        </w:tc>
        <w:tc>
          <w:tcPr>
            <w:tcW w:type="dxa" w:w="3400"/>
            <w:shd w:fill="FFF2CC" w:val="clear"/>
            <w:tcMar>
              <w:top w:type="dxa" w:w="60"/>
              <w:left w:type="dxa" w:w="100"/>
              <w:bottom w:type="dxa" w:w="60"/>
              <w:right w:type="dxa" w:w="100"/>
            </w:tcMar>
            <w:vAlign w:val="center"/>
          </w:tcPr>
          <w:p>
            <w:pPr>
              <w:spacing w:after="20" w:before="20"/>
              <w:jc w:val="left"/>
            </w:pPr>
            <w:r>
              <w:rPr>
                <w:rFonts w:ascii="Calibri" w:cs="Calibri" w:eastAsia="Calibri" w:hAnsi="Calibri"/>
                <w:b/>
                <w:bCs/>
                <w:sz w:val="18"/>
                <w:szCs w:val="18"/>
              </w:rPr>
              <w:t xml:space="preserve">Waiting on access</w:t>
            </w:r>
          </w:p>
        </w:tc>
        <w:tc>
          <w:tcPr>
            <w:tcW w:type="dxa" w:w="688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Needs the café owner to authorise access to their live Square account via OAuth.</w:t>
            </w:r>
          </w:p>
        </w:tc>
      </w:tr>
      <w:tr>
        <w:tc>
          <w:tcPr>
            <w:tcW w:type="dxa" w:w="340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8"/>
                <w:szCs w:val="18"/>
              </w:rPr>
              <w:t xml:space="preserve">/mock/adt/census</w:t>
            </w:r>
          </w:p>
        </w:tc>
        <w:tc>
          <w:tcPr>
            <w:tcW w:type="dxa" w:w="3400"/>
            <w:shd w:fill="FCE4E4" w:val="clear"/>
            <w:tcMar>
              <w:top w:type="dxa" w:w="60"/>
              <w:left w:type="dxa" w:w="100"/>
              <w:bottom w:type="dxa" w:w="60"/>
              <w:right w:type="dxa" w:w="100"/>
            </w:tcMar>
            <w:vAlign w:val="center"/>
          </w:tcPr>
          <w:p>
            <w:pPr>
              <w:spacing w:after="20" w:before="20"/>
              <w:jc w:val="left"/>
            </w:pPr>
            <w:r>
              <w:rPr>
                <w:rFonts w:ascii="Calibri" w:cs="Calibri" w:eastAsia="Calibri" w:hAnsi="Calibri"/>
                <w:b/>
                <w:bCs/>
                <w:sz w:val="18"/>
                <w:szCs w:val="18"/>
              </w:rPr>
              <w:t xml:space="preserve">Wrong technology</w:t>
            </w:r>
          </w:p>
        </w:tc>
        <w:tc>
          <w:tcPr>
            <w:tcW w:type="dxa" w:w="6880"/>
            <w:tcMar>
              <w:top w:type="dxa" w:w="60"/>
              <w:left w:type="dxa" w:w="100"/>
              <w:bottom w:type="dxa" w:w="60"/>
              <w:right w:type="dxa" w:w="100"/>
            </w:tcMar>
            <w:vAlign w:val="center"/>
          </w:tcPr>
          <w:p>
            <w:pPr>
              <w:spacing w:after="20" w:before="20"/>
              <w:jc w:val="left"/>
            </w:pPr>
            <w:r>
              <w:rPr>
                <w:rFonts w:ascii="Calibri" w:cs="Calibri" w:eastAsia="Calibri" w:hAnsi="Calibri"/>
                <w:b w:val="false"/>
                <w:bCs w:val="false"/>
                <w:sz w:val="17"/>
                <w:szCs w:val="17"/>
              </w:rPr>
              <w:t xml:space="preserve">Needs an HL7 v2 ADT feed from the hospital, not a REST API. Epic FHIR cannot answer "how many beds are occupied" at any access level.</w:t>
            </w:r>
          </w:p>
        </w:tc>
      </w:tr>
    </w:tbl>
    <w:p>
      <w:pPr>
        <w:pStyle w:val="Heading2"/>
        <w:spacing w:after="140" w:before="320"/>
      </w:pPr>
      <w:r>
        <w:rPr>
          <w:rFonts w:ascii="Calibri" w:cs="Calibri" w:eastAsia="Calibri" w:hAnsi="Calibri"/>
          <w:b/>
          <w:bCs/>
          <w:color w:val="1F3864"/>
          <w:sz w:val="24"/>
          <w:szCs w:val="24"/>
        </w:rPr>
        <w:t xml:space="preserve">Conclusion</w:t>
      </w:r>
    </w:p>
    <w:p>
      <w:pPr>
        <w:spacing w:after="120"/>
      </w:pPr>
      <w:r>
        <w:rPr>
          <w:rFonts w:ascii="Calibri" w:cs="Calibri" w:eastAsia="Calibri" w:hAnsi="Calibri"/>
          <w:sz w:val="19"/>
          <w:szCs w:val="19"/>
        </w:rPr>
        <w:t xml:space="preserve">All three connectors were proven to work against real vendor infrastructure. Authentication, pagination and transformation are complete and tested in every case. What differs is whether usable data exists behind them.</w:t>
      </w:r>
    </w:p>
    <w:p>
      <w:pPr>
        <w:spacing w:after="120"/>
      </w:pPr>
      <w:r>
        <w:rPr>
          <w:rFonts w:ascii="Calibri" w:cs="Calibri" w:eastAsia="Calibri" w:hAnsi="Calibri"/>
          <w:sz w:val="19"/>
          <w:szCs w:val="19"/>
        </w:rPr>
        <w:t xml:space="preserve">Only the holiday source can replace its mock today. Square requires a live merchant account before it holds real café history. Census cannot be obtained from Epic's FHIR API at all — not as a permissions limitation, but because that API is designed to return one patient's chart rather than a population count. Hospital occupancy is delivered as an HL7 v2 ADT message stream, which is a different integration entirely.</w:t>
      </w:r>
    </w:p>
    <w:p>
      <w:pPr>
        <w:spacing w:after="120"/>
      </w:pPr>
      <w:r>
        <w:rPr>
          <w:rFonts w:ascii="Calibri" w:cs="Calibri" w:eastAsia="Calibri" w:hAnsi="Calibri"/>
          <w:b w:val="false"/>
          <w:bCs w:val="false"/>
          <w:sz w:val="19"/>
          <w:szCs w:val="19"/>
        </w:rPr>
        <w:t xml:space="preserve">The most consequential finding is unrelated to any vendor: required_manpower, the value the models predict, is supplied by none of these sources. It is computed from Sodexo staffing ratios — patients per FTE and transactions per FTE. That figure should be agreed with operations before further work depends on it, because the accuracy of every forecast rests on it.</w:t>
      </w:r>
    </w:p>
    <w:p>
      <w:pPr>
        <w:spacing w:after="120"/>
      </w:pPr>
      <w:r>
        <w:rPr>
          <w:rFonts w:ascii="Calibri" w:cs="Calibri" w:eastAsia="Calibri" w:hAnsi="Calibri"/>
          <w:i/>
          <w:iCs/>
          <w:sz w:val="19"/>
          <w:szCs w:val="19"/>
        </w:rPr>
        <w:t xml:space="preserve">Until Square and ADT access are in place, data/sodex.xlsx remains the training dataset.</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API vs Real Source Comparison</dc:title>
  <dc:creator>Sodexo Healthcare Labor Forecasting POC</dc:creator>
  <cp:lastModifiedBy>Un-named</cp:lastModifiedBy>
  <cp:revision>1</cp:revision>
  <dcterms:created xsi:type="dcterms:W3CDTF">2026-09-15T12:31:17.523Z</dcterms:created>
  <dcterms:modified xsi:type="dcterms:W3CDTF">2026-09-15T12:31:17.524Z</dcterms:modified>
</cp:coreProperties>
</file>

<file path=docProps/custom.xml><?xml version="1.0" encoding="utf-8"?>
<Properties xmlns="http://schemas.openxmlformats.org/officeDocument/2006/custom-properties" xmlns:vt="http://schemas.openxmlformats.org/officeDocument/2006/docPropsVTypes"/>
</file>