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B5E"/>
          <w:sz w:val="28"/>
        </w:rPr>
        <w:t>CONCEPT NOTE</w:t>
      </w:r>
    </w:p>
    <w:p/>
    <w:p>
      <w:pPr>
        <w:jc w:val="center"/>
      </w:pPr>
      <w:r>
        <w:rPr>
          <w:b/>
          <w:sz w:val="48"/>
        </w:rPr>
        <w:t>India Urban Waste System</w:t>
      </w:r>
    </w:p>
    <w:p>
      <w:pPr>
        <w:jc w:val="center"/>
      </w:pPr>
      <w:r>
        <w:rPr>
          <w:i/>
          <w:sz w:val="28"/>
        </w:rPr>
        <w:t>National Ecosystem Strategy &amp; Intelligence Brief</w:t>
      </w:r>
    </w:p>
    <w:p/>
    <w:p>
      <w:pPr>
        <w:jc w:val="center"/>
      </w:pPr>
      <w:r>
        <w:rPr>
          <w:color w:val="555555"/>
          <w:sz w:val="22"/>
        </w:rPr>
        <w:t>April 2026  |  Urban Tracker — Waste Canvas</w:t>
      </w:r>
    </w:p>
    <w:p>
      <w:pPr>
        <w:jc w:val="center"/>
      </w:pPr>
      <w:r>
        <w:rPr>
          <w:color w:val="777777"/>
          <w:sz w:val="20"/>
        </w:rPr>
        <w:t>Data Sources: CPCB FY 2021-22  |  GFC 2024-25  |  PIB January/March 2026</w:t>
      </w:r>
    </w:p>
    <w:p>
      <w:r>
        <w:br w:type="page"/>
      </w:r>
    </w:p>
    <w:p>
      <w:pPr>
        <w:pStyle w:val="Heading1"/>
      </w:pPr>
      <w:r>
        <w:t>1. Executive Summary</w:t>
      </w:r>
    </w:p>
    <w:p>
      <w:r>
        <w:rPr>
          <w:b w:val="0"/>
          <w:i w:val="0"/>
          <w:sz w:val="22"/>
        </w:rPr>
        <w:t>India generates 1,62,000 tonnes of urban municipal solid waste (MSW) every day — and the systems built to manage it are at a critical inflection point. Collection infrastructure now reaches the majority of urban wards (60,478 wards at &gt;90% collection), a large informal recovery economy operates across thousands of cities, and a growing ecosystem of material recovery facilities, composters, CBG plants, recyclers, and EPR platforms has taken shape. Yet, the system leaks badly where it matters most: at source segregation, at the handoff from collection to processing, and at the offtake bridge between aggregators and recyclers.</w:t>
      </w:r>
    </w:p>
    <w:p>
      <w:r>
        <w:rPr>
          <w:b w:val="0"/>
          <w:i w:val="0"/>
          <w:sz w:val="22"/>
        </w:rPr>
        <w:t>This concept note maps the full architecture of India's urban waste ecosystem — its actors, capital flows, structural gaps, binding bottlenecks, and what it will take to move from a fragmented, leaking system to one that is traceable, inclusive, and resource-efficient. It is intended as a strategic intelligence brief for investors, government bodies, development sector organisations, and ecosystem builders working in or entering this space.</w:t>
      </w:r>
    </w:p>
    <w:p/>
    <w:p>
      <w:pPr>
        <w:pStyle w:val="Heading1"/>
      </w:pPr>
      <w:r>
        <w:t>2. Context &amp; Background</w:t>
      </w:r>
    </w:p>
    <w:p>
      <w:r>
        <w:rPr>
          <w:b w:val="0"/>
          <w:i w:val="0"/>
          <w:sz w:val="22"/>
        </w:rPr>
        <w:t>India is home to over 4,800 urban local bodies (ULBs) managing solid waste across a wide spectrum of city sizes — from megacities generating thousands of tonnes per day to small towns managing a few dozen. The Swachh Bharat Mission – Urban (SBM-U), launched in 2014 and extended as SBM-U 2.0 through 2025-26, has been the primary policy vehicle driving improvements in waste collection, processing, and legacy dumpsite remediation.</w:t>
      </w:r>
    </w:p>
    <w:p>
      <w:r>
        <w:rPr>
          <w:b w:val="0"/>
          <w:i w:val="0"/>
          <w:sz w:val="22"/>
        </w:rPr>
        <w:t>SBM-U 2.0 targets 100% source segregation, 100% scientific processing of fresh waste, and remediation of all legacy dumpsites — ambitions that have catalysed significant public investment and institutional reform. The Garbage Free City (GFC) star rating system has created competitive incentives for cities. Extended Producer Responsibility (EPR) frameworks for plastic and e-waste have begun to formalise producer accountability and create commercial pathways for low-value waste streams.</w:t>
      </w:r>
    </w:p>
    <w:p>
      <w:r>
        <w:rPr>
          <w:b w:val="0"/>
          <w:i w:val="0"/>
          <w:sz w:val="22"/>
        </w:rPr>
        <w:t>Despite this progress, the system continues to operate well below its potential. The gap between collection rates and processing rates, between the number of MRFs and their actual throughput quality, and between EPR commitments and ground-level material recovery — all point to a system that has built infrastructure without fully solving the integration and incentive problems that make it work.</w:t>
      </w:r>
    </w:p>
    <w:p/>
    <w:p>
      <w:pPr>
        <w:pStyle w:val="Heading1"/>
      </w:pPr>
      <w:r>
        <w:t>3. Problem Statement</w:t>
      </w:r>
    </w:p>
    <w:p>
      <w:r>
        <w:rPr>
          <w:b w:val="0"/>
          <w:i w:val="0"/>
          <w:sz w:val="22"/>
        </w:rPr>
        <w:t>The core problem is not a lack of infrastructure or actors — it is a lack of integration, traceability, and working capital across the mid-chain of the waste value system. Specifically:</w:t>
      </w:r>
    </w:p>
    <w:p>
      <w:pPr>
        <w:pStyle w:val="ListBullet"/>
      </w:pPr>
      <w:r>
        <w:t>Collection has outpaced segregation: 60,478 wards achieve &gt;90% collection, but only 39,648 achieve &gt;90% source segregation — a gap of over 20,000 wards where mixed waste enters the system and degrades material quality downstream.</w:t>
      </w:r>
    </w:p>
    <w:p>
      <w:pPr>
        <w:pStyle w:val="ListBullet"/>
      </w:pPr>
      <w:r>
        <w:t>Post-collection leakage is large and untracked: An estimated 12,600 TPD of collected waste is neither processed nor redirected to any formal pathway — it simply disappears into the informal system, open burning, or unauthorised disposal.</w:t>
      </w:r>
    </w:p>
    <w:p>
      <w:pPr>
        <w:pStyle w:val="ListBullet"/>
      </w:pPr>
      <w:r>
        <w:t>Processing capacity exists but underperforms: The national processing rate stands at 54% against a 100% SBM target. 2,900 MRFs operate nationally but at low throughput and inconsistent quality.</w:t>
      </w:r>
    </w:p>
    <w:p>
      <w:pPr>
        <w:pStyle w:val="ListBullet"/>
      </w:pPr>
      <w:r>
        <w:t>Offtake is unreliable: Aggregators and recyclers are disconnected by geography, price volatility, and trust deficits. Low-value streams (multi-layer plastics, flexible packaging, contaminated materials) have no reliable buyer at scale.</w:t>
      </w:r>
    </w:p>
    <w:p>
      <w:pPr>
        <w:pStyle w:val="ListBullet"/>
      </w:pPr>
      <w:r>
        <w:t>Legacy burden is enormous: 62,631 legacy dumpsite locations have been identified; &gt;62% have been remediated but the remainder continues to absorb land, capital, and management attention — and produces ongoing environmental and health liabilities.</w:t>
      </w:r>
    </w:p>
    <w:p>
      <w:pPr>
        <w:pStyle w:val="ListBullet"/>
      </w:pPr>
      <w:r>
        <w:t>Informal workers are outside the system: India's waste-picking workforce — estimated at 15 lakh to 20 lakh nationally — contributes disproportionately to material recovery but remains outside formal income security, data systems, and grievance mechanisms.</w:t>
      </w:r>
    </w:p>
    <w:p/>
    <w:p>
      <w:pPr>
        <w:pStyle w:val="Heading1"/>
      </w:pPr>
      <w:r>
        <w:t>4. System Architecture: Nine Functional Blocks</w:t>
      </w:r>
    </w:p>
    <w:p>
      <w:r>
        <w:rPr>
          <w:b w:val="0"/>
          <w:i w:val="0"/>
          <w:sz w:val="22"/>
        </w:rPr>
        <w:t>The urban waste system in India operates across nine interdependent functional blocks. Effective intervention requires understanding how these blocks relate, where value is created or destroyed, and where capital and coordination are most needed.</w:t>
      </w:r>
    </w:p>
    <w:p>
      <w:r>
        <w:rPr>
          <w:b/>
          <w:sz w:val="22"/>
        </w:rPr>
        <w:t>1. Consumers &amp; Bulk Waste Generators</w:t>
      </w:r>
    </w:p>
    <w:p>
      <w:r>
        <w:rPr>
          <w:b w:val="0"/>
          <w:i w:val="0"/>
          <w:sz w:val="22"/>
        </w:rPr>
        <w:t>Households, RWAs, campuses, hotels, malls, hospitals, railway stations, airports, and factories. This is where waste is created and, critically, where segregation either happens or fails. Bulk generators (commercial and institutional) account for a disproportionate share of high-value dry waste. Behaviour change, IEC programmes, and regulatory compliance (bulk generator norms) are the key interventions at this block.</w:t>
      </w:r>
    </w:p>
    <w:p/>
    <w:p>
      <w:r>
        <w:rPr>
          <w:b/>
          <w:sz w:val="22"/>
        </w:rPr>
        <w:t>2. Formal Waste Collectors</w:t>
      </w:r>
    </w:p>
    <w:p>
      <w:r>
        <w:rPr>
          <w:b w:val="0"/>
          <w:i w:val="0"/>
          <w:sz w:val="22"/>
        </w:rPr>
        <w:t>ULBs, sanitation departments, ward-level contractors, and concessionaires responsible for door-to-door collection and primary transport. Fleet management, route optimisation, and worker welfare are operational priorities. Collection coverage has expanded significantly under SBM-U but remains uneven in peri-urban and small-city contexts.</w:t>
      </w:r>
    </w:p>
    <w:p/>
    <w:p>
      <w:r>
        <w:rPr>
          <w:b/>
          <w:sz w:val="22"/>
        </w:rPr>
        <w:t>3. Informal Waste Collectors</w:t>
      </w:r>
    </w:p>
    <w:p>
      <w:r>
        <w:rPr>
          <w:b w:val="0"/>
          <w:i w:val="0"/>
          <w:sz w:val="22"/>
        </w:rPr>
        <w:t>Waste pickers, itinerant buyers (kabadiwalas), cooperatives, and community-based worker groups who sort and recover material across the waste stream — at household doors, on streets, at dumpsites, and at transfer points. This sector pre-sorts an estimated 20-25% of recoverable material before it enters formal infrastructure, at near-zero cost to the public system.</w:t>
      </w:r>
    </w:p>
    <w:p/>
    <w:p>
      <w:r>
        <w:rPr>
          <w:b/>
          <w:sz w:val="22"/>
        </w:rPr>
        <w:t>4. Material Recovery Facilities (MRFs) / Sorting Centres</w:t>
      </w:r>
    </w:p>
    <w:p>
      <w:r>
        <w:rPr>
          <w:b w:val="0"/>
          <w:i w:val="0"/>
          <w:sz w:val="22"/>
        </w:rPr>
        <w:t>Municipal MRFs, Dry Waste Collection Centres (DWCCs), zero-waste operators, and private sorting lines where dry waste is separated by material type and grade for downstream sale. MRF quality — and the income it generates — is directly dependent on the segregation that happens upstream.</w:t>
      </w:r>
    </w:p>
    <w:p/>
    <w:p>
      <w:r>
        <w:rPr>
          <w:b/>
          <w:sz w:val="22"/>
        </w:rPr>
        <w:t>5. Scrap Dealers</w:t>
      </w:r>
    </w:p>
    <w:p>
      <w:r>
        <w:rPr>
          <w:b w:val="0"/>
          <w:i w:val="0"/>
          <w:sz w:val="22"/>
        </w:rPr>
        <w:t>The kabadi ecosystem of shops, balers, godowns, mandi traders, and small aggregators who buy sorted material from MRFs, kabadiwalas, and households. This is the least visible block in formal policy, but it is the connective tissue between the first-mile and the recycling economy.</w:t>
      </w:r>
    </w:p>
    <w:p/>
    <w:p>
      <w:r>
        <w:rPr>
          <w:b/>
          <w:sz w:val="22"/>
        </w:rPr>
        <w:t>6. Aggregators</w:t>
      </w:r>
    </w:p>
    <w:p>
      <w:r>
        <w:rPr>
          <w:b w:val="0"/>
          <w:i w:val="0"/>
          <w:sz w:val="22"/>
        </w:rPr>
        <w:t>Digital marketplaces, EPR compliance managers, traceability platforms, and material consolidators who assemble volume and provide market linkage between the fragmented supply side (scrap dealers, MRFs) and industrial recyclers. This block is capital-light but data-heavy.</w:t>
      </w:r>
    </w:p>
    <w:p/>
    <w:p>
      <w:r>
        <w:rPr>
          <w:b/>
          <w:sz w:val="22"/>
        </w:rPr>
        <w:t>7. Recyclers</w:t>
      </w:r>
    </w:p>
    <w:p>
      <w:r>
        <w:rPr>
          <w:b w:val="0"/>
          <w:i w:val="0"/>
          <w:sz w:val="22"/>
        </w:rPr>
        <w:t>Industrial recyclers handling plastic (flexible and rigid), metal, paper, e-waste, batteries, glass, and composite materials. Recyclers require consistent feedstock quality and volume, and are often constrained by working capital and reliable offtake contracts.</w:t>
      </w:r>
    </w:p>
    <w:p/>
    <w:p>
      <w:r>
        <w:rPr>
          <w:b/>
          <w:sz w:val="22"/>
        </w:rPr>
        <w:t>8. Waste Transporters</w:t>
      </w:r>
    </w:p>
    <w:p>
      <w:r>
        <w:rPr>
          <w:b w:val="0"/>
          <w:i w:val="0"/>
          <w:sz w:val="22"/>
        </w:rPr>
        <w:t>Municipal and concessionaire fleets handling primary and secondary transport, as well as micro-haulers, bale logistics providers, and reverse logistics partners for EPR take-back systems.</w:t>
      </w:r>
    </w:p>
    <w:p/>
    <w:p>
      <w:r>
        <w:rPr>
          <w:b/>
          <w:sz w:val="22"/>
        </w:rPr>
        <w:t>9. Waste Processors</w:t>
      </w:r>
    </w:p>
    <w:p>
      <w:r>
        <w:rPr>
          <w:b w:val="0"/>
          <w:i w:val="0"/>
          <w:sz w:val="22"/>
        </w:rPr>
        <w:t>Composting plants, bio-methanation units, Compressed Bio-Gas (CBG) plants, Refuse Derived Fuel (RDF) producers, Waste-to-Energy (WtE) plants, co-processors (cement kilns), and scientific engineered landfills for true rejects. Processing is capital-intensive and requires long-term offtake agreements and feedstock security.</w:t>
      </w:r>
    </w:p>
    <w:p/>
    <w:p>
      <w:pPr>
        <w:pStyle w:val="Heading1"/>
      </w:pPr>
      <w:r>
        <w:t>5. Quantified State of the System</w:t>
      </w:r>
    </w:p>
    <w:p>
      <w:r>
        <w:rPr>
          <w:b w:val="0"/>
          <w:i w:val="0"/>
          <w:sz w:val="22"/>
        </w:rPr>
        <w:t>The following figures draw on CPCB FY 2021-22 mass-balance data, GFC 2024-25 operating signals, and PIB press releases from January and March 2026.</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Indicator</w:t>
            </w:r>
          </w:p>
        </w:tc>
        <w:tc>
          <w:tcPr>
            <w:tcW w:type="dxa" w:w="3041"/>
          </w:tcPr>
          <w:p>
            <w:r>
              <w:rPr>
                <w:b/>
              </w:rPr>
              <w:t>Value</w:t>
            </w:r>
          </w:p>
        </w:tc>
        <w:tc>
          <w:tcPr>
            <w:tcW w:type="dxa" w:w="3041"/>
          </w:tcPr>
          <w:p>
            <w:r>
              <w:rPr>
                <w:b/>
              </w:rPr>
              <w:t>Source / Year</w:t>
            </w:r>
          </w:p>
        </w:tc>
      </w:tr>
      <w:tr>
        <w:tc>
          <w:tcPr>
            <w:tcW w:type="dxa" w:w="3041"/>
          </w:tcPr>
          <w:p>
            <w:r>
              <w:t>Urban MSW generated nationally</w:t>
            </w:r>
          </w:p>
        </w:tc>
        <w:tc>
          <w:tcPr>
            <w:tcW w:type="dxa" w:w="3041"/>
          </w:tcPr>
          <w:p>
            <w:r>
              <w:t>1,62,000 TPD</w:t>
            </w:r>
          </w:p>
        </w:tc>
        <w:tc>
          <w:tcPr>
            <w:tcW w:type="dxa" w:w="3041"/>
          </w:tcPr>
          <w:p>
            <w:r>
              <w:t>CPCB FY 2021-22</w:t>
            </w:r>
          </w:p>
        </w:tc>
      </w:tr>
      <w:tr>
        <w:tc>
          <w:tcPr>
            <w:tcW w:type="dxa" w:w="3041"/>
          </w:tcPr>
          <w:p>
            <w:r>
              <w:t>National processing rate</w:t>
            </w:r>
          </w:p>
        </w:tc>
        <w:tc>
          <w:tcPr>
            <w:tcW w:type="dxa" w:w="3041"/>
          </w:tcPr>
          <w:p>
            <w:r>
              <w:t>54%</w:t>
            </w:r>
          </w:p>
        </w:tc>
        <w:tc>
          <w:tcPr>
            <w:tcW w:type="dxa" w:w="3041"/>
          </w:tcPr>
          <w:p>
            <w:r>
              <w:t>CPCB FY 2021-22</w:t>
            </w:r>
          </w:p>
        </w:tc>
      </w:tr>
      <w:tr>
        <w:tc>
          <w:tcPr>
            <w:tcW w:type="dxa" w:w="3041"/>
          </w:tcPr>
          <w:p>
            <w:r>
              <w:t>Wards with &gt;90% collection coverage</w:t>
            </w:r>
          </w:p>
        </w:tc>
        <w:tc>
          <w:tcPr>
            <w:tcW w:type="dxa" w:w="3041"/>
          </w:tcPr>
          <w:p>
            <w:r>
              <w:t>60,478</w:t>
            </w:r>
          </w:p>
        </w:tc>
        <w:tc>
          <w:tcPr>
            <w:tcW w:type="dxa" w:w="3041"/>
          </w:tcPr>
          <w:p>
            <w:r>
              <w:t>GFC 2024-25</w:t>
            </w:r>
          </w:p>
        </w:tc>
      </w:tr>
      <w:tr>
        <w:tc>
          <w:tcPr>
            <w:tcW w:type="dxa" w:w="3041"/>
          </w:tcPr>
          <w:p>
            <w:r>
              <w:t>Wards with &gt;90% source segregation</w:t>
            </w:r>
          </w:p>
        </w:tc>
        <w:tc>
          <w:tcPr>
            <w:tcW w:type="dxa" w:w="3041"/>
          </w:tcPr>
          <w:p>
            <w:r>
              <w:t>39,648</w:t>
            </w:r>
          </w:p>
        </w:tc>
        <w:tc>
          <w:tcPr>
            <w:tcW w:type="dxa" w:w="3041"/>
          </w:tcPr>
          <w:p>
            <w:r>
              <w:t>GFC 2024-25</w:t>
            </w:r>
          </w:p>
        </w:tc>
      </w:tr>
      <w:tr>
        <w:tc>
          <w:tcPr>
            <w:tcW w:type="dxa" w:w="3041"/>
          </w:tcPr>
          <w:p>
            <w:r>
              <w:t>Post-collection leakage (unprocessed, unredirected)</w:t>
            </w:r>
          </w:p>
        </w:tc>
        <w:tc>
          <w:tcPr>
            <w:tcW w:type="dxa" w:w="3041"/>
          </w:tcPr>
          <w:p>
            <w:r>
              <w:t>~12,600 TPD</w:t>
            </w:r>
          </w:p>
        </w:tc>
        <w:tc>
          <w:tcPr>
            <w:tcW w:type="dxa" w:w="3041"/>
          </w:tcPr>
          <w:p>
            <w:r>
              <w:t>CPCB FY 2021-22</w:t>
            </w:r>
          </w:p>
        </w:tc>
      </w:tr>
      <w:tr>
        <w:tc>
          <w:tcPr>
            <w:tcW w:type="dxa" w:w="3041"/>
          </w:tcPr>
          <w:p>
            <w:r>
              <w:t>MRFs operational nationally</w:t>
            </w:r>
          </w:p>
        </w:tc>
        <w:tc>
          <w:tcPr>
            <w:tcW w:type="dxa" w:w="3041"/>
          </w:tcPr>
          <w:p>
            <w:r>
              <w:t>2,900</w:t>
            </w:r>
          </w:p>
        </w:tc>
        <w:tc>
          <w:tcPr>
            <w:tcW w:type="dxa" w:w="3041"/>
          </w:tcPr>
          <w:p>
            <w:r>
              <w:t>MoHUA / SBM-U 2.0</w:t>
            </w:r>
          </w:p>
        </w:tc>
      </w:tr>
      <w:tr>
        <w:tc>
          <w:tcPr>
            <w:tcW w:type="dxa" w:w="3041"/>
          </w:tcPr>
          <w:p>
            <w:r>
              <w:t>Legacy waste identified nationally</w:t>
            </w:r>
          </w:p>
        </w:tc>
        <w:tc>
          <w:tcPr>
            <w:tcW w:type="dxa" w:w="3041"/>
          </w:tcPr>
          <w:p>
            <w:r>
              <w:t>~25 crore MT</w:t>
            </w:r>
          </w:p>
        </w:tc>
        <w:tc>
          <w:tcPr>
            <w:tcW w:type="dxa" w:w="3041"/>
          </w:tcPr>
          <w:p>
            <w:r>
              <w:t>PIB Jan 2026</w:t>
            </w:r>
          </w:p>
        </w:tc>
      </w:tr>
      <w:tr>
        <w:tc>
          <w:tcPr>
            <w:tcW w:type="dxa" w:w="3041"/>
          </w:tcPr>
          <w:p>
            <w:r>
              <w:t>Legacy waste remediated by Jan 31, 2026</w:t>
            </w:r>
          </w:p>
        </w:tc>
        <w:tc>
          <w:tcPr>
            <w:tcW w:type="dxa" w:w="3041"/>
          </w:tcPr>
          <w:p>
            <w:r>
              <w:t>&gt;62%</w:t>
            </w:r>
          </w:p>
        </w:tc>
        <w:tc>
          <w:tcPr>
            <w:tcW w:type="dxa" w:w="3041"/>
          </w:tcPr>
          <w:p>
            <w:r>
              <w:t>PIB Jan 2026</w:t>
            </w:r>
          </w:p>
        </w:tc>
      </w:tr>
      <w:tr>
        <w:tc>
          <w:tcPr>
            <w:tcW w:type="dxa" w:w="3041"/>
          </w:tcPr>
          <w:p>
            <w:r>
              <w:t>Legacy dumpsite locations identified</w:t>
            </w:r>
          </w:p>
        </w:tc>
        <w:tc>
          <w:tcPr>
            <w:tcW w:type="dxa" w:w="3041"/>
          </w:tcPr>
          <w:p>
            <w:r>
              <w:t>62,631</w:t>
            </w:r>
          </w:p>
        </w:tc>
        <w:tc>
          <w:tcPr>
            <w:tcW w:type="dxa" w:w="3041"/>
          </w:tcPr>
          <w:p>
            <w:r>
              <w:t>PIB Jan 2026</w:t>
            </w:r>
          </w:p>
        </w:tc>
      </w:tr>
      <w:tr>
        <w:tc>
          <w:tcPr>
            <w:tcW w:type="dxa" w:w="3041"/>
          </w:tcPr>
          <w:p>
            <w:r>
              <w:t>Dry waste as share of MSW</w:t>
            </w:r>
          </w:p>
        </w:tc>
        <w:tc>
          <w:tcPr>
            <w:tcW w:type="dxa" w:w="3041"/>
          </w:tcPr>
          <w:p>
            <w:r>
              <w:t>~25%</w:t>
            </w:r>
          </w:p>
        </w:tc>
        <w:tc>
          <w:tcPr>
            <w:tcW w:type="dxa" w:w="3041"/>
          </w:tcPr>
          <w:p>
            <w:r>
              <w:t>CPCB FY 2021-22</w:t>
            </w:r>
          </w:p>
        </w:tc>
      </w:tr>
    </w:tbl>
    <w:p/>
    <w:p>
      <w:pPr>
        <w:pStyle w:val="Heading1"/>
      </w:pPr>
      <w:r>
        <w:t>6. What Exists — Strengths and Momentum</w:t>
      </w:r>
    </w:p>
    <w:p>
      <w:r>
        <w:rPr>
          <w:b w:val="0"/>
          <w:i w:val="0"/>
          <w:sz w:val="22"/>
        </w:rPr>
        <w:t>India's urban waste ecosystem has built significant foundations that any intervention strategy must work with and through, rather than around:</w:t>
      </w:r>
    </w:p>
    <w:p>
      <w:pPr>
        <w:pStyle w:val="ListBullet"/>
      </w:pPr>
      <w:r>
        <w:t>ULB-led collection backbone: A structured collection system with concessionaires, dedicated fleets, and ward-level worker teams now covers the majority of urban India. This is the platform on which segregation and processing improvements must be built.</w:t>
      </w:r>
    </w:p>
    <w:p>
      <w:pPr>
        <w:pStyle w:val="ListBullet"/>
      </w:pPr>
      <w:r>
        <w:t>Large informal recovery economy: India's waste pickers, kabadiwalas, and scrap networks constitute an informal recycling infrastructure that operates at national scale, processes high-value dry waste efficiently, and provides livelihoods to millions — without public subsidy.</w:t>
      </w:r>
    </w:p>
    <w:p>
      <w:pPr>
        <w:pStyle w:val="ListBullet"/>
      </w:pPr>
      <w:r>
        <w:t>Growing processing infrastructure: MRFs, composting plants, biomethanation units, CBG facilities, and industrial recyclers have expanded significantly in the past decade, driven by SBM mandates, EPR compliance demand, and private investment.</w:t>
      </w:r>
    </w:p>
    <w:p>
      <w:pPr>
        <w:pStyle w:val="ListBullet"/>
      </w:pPr>
      <w:r>
        <w:t>EPR frameworks creating commercial flows: Producer-funded EPR compliance is beginning to create predictable revenue streams for collectors, aggregators, and recyclers handling plastic waste — and is catalysing investment in traceability platforms.</w:t>
      </w:r>
    </w:p>
    <w:p>
      <w:pPr>
        <w:pStyle w:val="ListBullet"/>
      </w:pPr>
      <w:r>
        <w:t>SBM-U 2.0 and GFC momentum: Government policy is driving measurable improvement. GFC star ratings create city-level incentives. Dumpsite remediation is substantially under way. Data infrastructure (SBM dashboards, CPCB reporting) is improving.</w:t>
      </w:r>
    </w:p>
    <w:p>
      <w:pPr>
        <w:pStyle w:val="ListBullet"/>
      </w:pPr>
      <w:r>
        <w:t>Mission-aligned capital entering the system: A growing range of philanthropic, CSR, and impact investment capital is targeting the waste sector — from worker inclusion to recycling technology to processing infrastructure.</w:t>
      </w:r>
    </w:p>
    <w:p/>
    <w:p>
      <w:pPr>
        <w:pStyle w:val="Heading1"/>
      </w:pPr>
      <w:r>
        <w:t>7. Structural Gaps and Deficits</w:t>
      </w:r>
    </w:p>
    <w:p>
      <w:r>
        <w:rPr>
          <w:b/>
          <w:sz w:val="22"/>
        </w:rPr>
        <w:t xml:space="preserve">Source segregation deficit: </w:t>
      </w:r>
      <w:r>
        <w:rPr>
          <w:sz w:val="22"/>
        </w:rPr>
        <w:t>Despite collection coverage, only 39,648 of 60,478 high-collection wards also achieve high segregation rates. Mixed waste degrades material quality and imposes processing costs throughout the downstream system. The segregation deficit is both a behaviour change problem and a regulatory enforcement problem.</w:t>
      </w:r>
    </w:p>
    <w:p>
      <w:r>
        <w:rPr>
          <w:b/>
          <w:sz w:val="22"/>
        </w:rPr>
        <w:t xml:space="preserve">Traceability vacuum: </w:t>
      </w:r>
      <w:r>
        <w:rPr>
          <w:sz w:val="22"/>
        </w:rPr>
        <w:t>No end-to-end data trail exists for low-value waste streams from MRF to recycler. This creates information asymmetry, prevents EPR accountability, and makes it impossible to verify material flows for compliance, financing, or impact reporting purposes.</w:t>
      </w:r>
    </w:p>
    <w:p>
      <w:r>
        <w:rPr>
          <w:b/>
          <w:sz w:val="22"/>
        </w:rPr>
        <w:t xml:space="preserve">Offtake gap: </w:t>
      </w:r>
      <w:r>
        <w:rPr>
          <w:sz w:val="22"/>
        </w:rPr>
        <w:t>Sorted material — particularly low-value streams like flexible plastics, multi-layer packaging, and contaminated dry waste — lacks reliable industrial buyers across most geographies. Without offtake certainty, MRFs and aggregators cannot plan, and recyclers operate below capacity.</w:t>
      </w:r>
    </w:p>
    <w:p>
      <w:r>
        <w:rPr>
          <w:b/>
          <w:sz w:val="22"/>
        </w:rPr>
        <w:t xml:space="preserve">Working capital deficit: </w:t>
      </w:r>
      <w:r>
        <w:rPr>
          <w:sz w:val="22"/>
        </w:rPr>
        <w:t>Scrap dealers and small aggregators are the mid-chain connective tissue but have almost no access to formal working capital. Inventory sits unsold, routes are abandoned, and material that could be recovered is instead lost. Banks do not lend to informal aggregators; EPR platforms do not yet fully bridge this gap.</w:t>
      </w:r>
    </w:p>
    <w:p>
      <w:r>
        <w:rPr>
          <w:b/>
          <w:sz w:val="22"/>
        </w:rPr>
        <w:t xml:space="preserve">Informal worker exclusion: </w:t>
      </w:r>
      <w:r>
        <w:rPr>
          <w:sz w:val="22"/>
        </w:rPr>
        <w:t>India's waste-picking workforce contributes ~20-25% of urban dry waste recovery but is excluded from formal data systems, social protection, income guarantees, and city contracting. This exclusion creates both a justice deficit and a systemic efficiency loss.</w:t>
      </w:r>
    </w:p>
    <w:p>
      <w:r>
        <w:rPr>
          <w:b/>
          <w:sz w:val="22"/>
        </w:rPr>
        <w:t xml:space="preserve">Data interoperability: </w:t>
      </w:r>
      <w:r>
        <w:rPr>
          <w:sz w:val="22"/>
        </w:rPr>
        <w:t>ULB data, EPR manager platforms, MRF reporting, and recycler compliance data exist in silos. No unified data architecture connects material flows across the system, making city-level planning, investor due diligence, and impact verification difficult.</w:t>
      </w:r>
    </w:p>
    <w:p>
      <w:r>
        <w:rPr>
          <w:b/>
          <w:sz w:val="22"/>
        </w:rPr>
        <w:t xml:space="preserve">Scientific landfill deficit: </w:t>
      </w:r>
      <w:r>
        <w:rPr>
          <w:sz w:val="22"/>
        </w:rPr>
        <w:t>Most cities continue to use dumpsites or sanitary landfills as a first resort rather than a last resort for true processing rejects. Scientific engineered landfill capacity is inadequate, and the culture of defaulting to disposal persists.</w:t>
      </w:r>
    </w:p>
    <w:p/>
    <w:p>
      <w:pPr>
        <w:pStyle w:val="Heading1"/>
      </w:pPr>
      <w:r>
        <w:t>8. Binding Bottlenecks</w:t>
      </w:r>
    </w:p>
    <w:p>
      <w:r>
        <w:rPr>
          <w:b w:val="0"/>
          <w:i w:val="0"/>
          <w:sz w:val="22"/>
        </w:rPr>
        <w:t>Six constraints are binding at the system level — meaning they prevent improvement in multiple other blocks and cannot be resolved by any single actor:</w:t>
      </w:r>
    </w:p>
    <w:p>
      <w:r>
        <w:rPr>
          <w:b/>
        </w:rPr>
        <w:t xml:space="preserve">1. Segregation gap at source: </w:t>
      </w:r>
      <w:r>
        <w:t>If waste is not sorted at the household or bulk generator, all downstream investment in MRFs, recyclers, and processors faces a feedstock quality problem that cannot be fully corrected.</w:t>
      </w:r>
    </w:p>
    <w:p>
      <w:r>
        <w:rPr>
          <w:b/>
        </w:rPr>
        <w:t xml:space="preserve">2. Post-collection leakage: </w:t>
      </w:r>
      <w:r>
        <w:t>An estimated 12,600 TPD of collected waste does not reach any processing endpoint. This leakage is invisible to public reporting and represents a significant loss of recoverable material and revenue.</w:t>
      </w:r>
    </w:p>
    <w:p>
      <w:r>
        <w:rPr>
          <w:b/>
        </w:rPr>
        <w:t xml:space="preserve">3. MRF quality and recovery bottlenecks: </w:t>
      </w:r>
      <w:r>
        <w:t>Many MRFs produce output that is too contaminated for industrial buyers or too inconsistent in grade. MRF throughput is also constrained by site capacity and equipment quality.</w:t>
      </w:r>
    </w:p>
    <w:p>
      <w:r>
        <w:rPr>
          <w:b/>
        </w:rPr>
        <w:t xml:space="preserve">4. Offtake gap between aggregators and recyclers: </w:t>
      </w:r>
      <w:r>
        <w:t>Material aggregated by scrap dealers and platforms cannot find industrial buyers at consistent prices. Price volatility and geographic mismatch make planning impossible.</w:t>
      </w:r>
    </w:p>
    <w:p>
      <w:r>
        <w:rPr>
          <w:b/>
        </w:rPr>
        <w:t xml:space="preserve">5. Residual landfill and RDF dependence: </w:t>
      </w:r>
      <w:r>
        <w:t>RDF and landfill remain the default for materials that cannot find an industrial buyer — creating a perverse incentive against investing in better segregation and recovery.</w:t>
      </w:r>
    </w:p>
    <w:p>
      <w:r>
        <w:rPr>
          <w:b/>
        </w:rPr>
        <w:t xml:space="preserve">6. Legacy dumpsite burden: </w:t>
      </w:r>
      <w:r>
        <w:t>The remaining unmediated legacy sites consume significant financial, human, and management resources that could otherwise be deployed toward system improvements.</w:t>
      </w:r>
    </w:p>
    <w:p/>
    <w:p>
      <w:pPr>
        <w:pStyle w:val="Heading1"/>
      </w:pPr>
      <w:r>
        <w:t>9. What Needs to Change — Recommendations</w:t>
      </w:r>
    </w:p>
    <w:p>
      <w:r>
        <w:rPr>
          <w:b/>
        </w:rPr>
        <w:t xml:space="preserve">Bind segregation compliance to GFC/SBM ratings: </w:t>
      </w:r>
      <w:r>
        <w:t>Segregation performance — not just collection — should be a gate for GFC star ratings and SBM-U fund releases. Bulk generator norms should be enforced with graduated penalties. IEC investment should be redirected toward segregation behaviour, not collection awareness.</w:t>
      </w:r>
    </w:p>
    <w:p>
      <w:r>
        <w:rPr>
          <w:b/>
        </w:rPr>
        <w:t xml:space="preserve">Deploy traceability from MRF to recycler: </w:t>
      </w:r>
      <w:r>
        <w:t>A material traceability protocol — linking MRF dispatch records to aggregator receipts to recycler processing logs — should become standard for EPR compliance. Platforms like Recykal, GEM Enviro, and Cirqlo are positioned to operationalise this at scale.</w:t>
      </w:r>
    </w:p>
    <w:p>
      <w:r>
        <w:rPr>
          <w:b/>
        </w:rPr>
        <w:t xml:space="preserve">Unlock working capital for scrap dealers and aggregators: </w:t>
      </w:r>
      <w:r>
        <w:t>Inventory finance products, EPR-linked purchase orders, and digital transaction records should be used to open bank and NBFC lending to mid-chain actors. This is the single highest-leverage working capital intervention in the system.</w:t>
      </w:r>
    </w:p>
    <w:p>
      <w:r>
        <w:rPr>
          <w:b/>
        </w:rPr>
        <w:t xml:space="preserve">Create EPR offtake guarantees for low-value streams: </w:t>
      </w:r>
      <w:r>
        <w:t>Producers should be required to provide minimum price guarantees for low-value and hard-to-recycle streams — not just fund collection of high-value materials. This is the only structural mechanism to make low-value stream recovery economically viable.</w:t>
      </w:r>
    </w:p>
    <w:p>
      <w:r>
        <w:rPr>
          <w:b/>
        </w:rPr>
        <w:t xml:space="preserve">Formally integrate informal workers into city systems: </w:t>
      </w:r>
      <w:r>
        <w:t>Waste pickers should be issued city contractor IDs, included in SBM ward data, enrolled in social protection, and connected to EPR payment flows. Cities like Pune (SWaCH) and Bengaluru (Hasiru Dala) have demonstrated workable models at scale.</w:t>
      </w:r>
    </w:p>
    <w:p>
      <w:r>
        <w:rPr>
          <w:b/>
        </w:rPr>
        <w:t xml:space="preserve">Shift landfill from routine to reject-only: </w:t>
      </w:r>
      <w:r>
        <w:t>City contracts and tipping fees should be restructured so that landfill is a last resort with a high cost, not a cheap default. This requires adequate processing alternatives to be in place first.</w:t>
      </w:r>
    </w:p>
    <w:p>
      <w:r>
        <w:rPr>
          <w:b/>
        </w:rPr>
        <w:t xml:space="preserve">Achieve data interoperability across ULBs, EPR managers and platforms: </w:t>
      </w:r>
      <w:r>
        <w:t>MoHUA should mandate a common data standard for SWM reporting that allows material flow data to be aggregated across the system — for city planning, EPR verification, and investor due diligence.</w:t>
      </w:r>
    </w:p>
    <w:p>
      <w:r>
        <w:rPr>
          <w:b/>
        </w:rPr>
        <w:t xml:space="preserve">Scale legacy dumpsite remediation with blended and climate finance: </w:t>
      </w:r>
      <w:r>
        <w:t>The remaining ~38% of legacy sites should be tackled through blended public-private finance structures that integrate climate finance (methane abatement, carbon credits) with public remediation budgets. Technical assistance from UNDP, World Bank, and BMGF should be directed here.</w:t>
      </w:r>
    </w:p>
    <w:p/>
    <w:p>
      <w:pPr>
        <w:pStyle w:val="Heading1"/>
      </w:pPr>
      <w:r>
        <w:t>10. Pan-India Partner Ecosystem</w:t>
      </w:r>
    </w:p>
    <w:p>
      <w:r>
        <w:rPr>
          <w:b w:val="0"/>
          <w:i w:val="0"/>
          <w:sz w:val="22"/>
        </w:rPr>
        <w:t>The following organisations represent the illustrative (not exhaustive) actor landscape across India's urban waste system. The ecosystem includes public, private, nonprofit, cooperative, and informal actors across all nine functional blocks.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System Block</w:t>
            </w:r>
          </w:p>
        </w:tc>
        <w:tc>
          <w:tcPr>
            <w:tcW w:type="dxa" w:w="2280"/>
          </w:tcPr>
          <w:p>
            <w:r>
              <w:rPr>
                <w:b/>
              </w:rPr>
              <w:t>Organisations</w:t>
            </w:r>
          </w:p>
        </w:tc>
        <w:tc>
          <w:tcPr>
            <w:tcW w:type="dxa" w:w="2280"/>
          </w:tcPr>
          <w:p>
            <w:r>
              <w:rPr>
                <w:b/>
              </w:rPr>
              <w:t>Type</w:t>
            </w:r>
          </w:p>
        </w:tc>
        <w:tc>
          <w:tcPr>
            <w:tcW w:type="dxa" w:w="2280"/>
          </w:tcPr>
          <w:p>
            <w:r>
              <w:rPr>
                <w:b/>
              </w:rPr>
              <w:t>Notes</w:t>
            </w:r>
          </w:p>
        </w:tc>
      </w:tr>
      <w:tr>
        <w:tc>
          <w:tcPr>
            <w:tcW w:type="dxa" w:w="2280"/>
          </w:tcPr>
          <w:p>
            <w:r>
              <w:t>Formal Collection</w:t>
            </w:r>
          </w:p>
        </w:tc>
        <w:tc>
          <w:tcPr>
            <w:tcW w:type="dxa" w:w="2280"/>
          </w:tcPr>
          <w:p>
            <w:r>
              <w:t>NMMC, PCMC, Municipal Corporations, Antony Waste Handling Cell</w:t>
            </w:r>
          </w:p>
        </w:tc>
        <w:tc>
          <w:tcPr>
            <w:tcW w:type="dxa" w:w="2280"/>
          </w:tcPr>
          <w:p>
            <w:r>
              <w:t>Public / Private</w:t>
            </w:r>
          </w:p>
        </w:tc>
        <w:tc>
          <w:tcPr>
            <w:tcW w:type="dxa" w:w="2280"/>
          </w:tcPr>
          <w:p>
            <w:r>
              <w:t>ULB concessionaires and fleet operators</w:t>
            </w:r>
          </w:p>
        </w:tc>
      </w:tr>
      <w:tr>
        <w:tc>
          <w:tcPr>
            <w:tcW w:type="dxa" w:w="2280"/>
          </w:tcPr>
          <w:p>
            <w:r>
              <w:t>Informal Collection</w:t>
            </w:r>
          </w:p>
        </w:tc>
        <w:tc>
          <w:tcPr>
            <w:tcW w:type="dxa" w:w="2280"/>
          </w:tcPr>
          <w:p>
            <w:r>
              <w:t>SWaCH (Pune), Hasiru Dala (Bengaluru), Chintan / Safai Sena (Delhi), Plastics for Change</w:t>
            </w:r>
          </w:p>
        </w:tc>
        <w:tc>
          <w:tcPr>
            <w:tcW w:type="dxa" w:w="2280"/>
          </w:tcPr>
          <w:p>
            <w:r>
              <w:t>NGO / Cooperative</w:t>
            </w:r>
          </w:p>
        </w:tc>
        <w:tc>
          <w:tcPr>
            <w:tcW w:type="dxa" w:w="2280"/>
          </w:tcPr>
          <w:p>
            <w:r>
              <w:t>Worker collectives and fair-trade models</w:t>
            </w:r>
          </w:p>
        </w:tc>
      </w:tr>
      <w:tr>
        <w:tc>
          <w:tcPr>
            <w:tcW w:type="dxa" w:w="2280"/>
          </w:tcPr>
          <w:p>
            <w:r>
              <w:t>MRFs / Sorting</w:t>
            </w:r>
          </w:p>
        </w:tc>
        <w:tc>
          <w:tcPr>
            <w:tcW w:type="dxa" w:w="2280"/>
          </w:tcPr>
          <w:p>
            <w:r>
              <w:t>Saahas Zero Waste, Hasiru Dala Innovations, Chintan micro-MRFs</w:t>
            </w:r>
          </w:p>
        </w:tc>
        <w:tc>
          <w:tcPr>
            <w:tcW w:type="dxa" w:w="2280"/>
          </w:tcPr>
          <w:p>
            <w:r>
              <w:t>Social Enterprise</w:t>
            </w:r>
          </w:p>
        </w:tc>
        <w:tc>
          <w:tcPr>
            <w:tcW w:type="dxa" w:w="2280"/>
          </w:tcPr>
          <w:p>
            <w:r>
              <w:t>Zero-waste operators and city MRF networks</w:t>
            </w:r>
          </w:p>
        </w:tc>
      </w:tr>
      <w:tr>
        <w:tc>
          <w:tcPr>
            <w:tcW w:type="dxa" w:w="2280"/>
          </w:tcPr>
          <w:p>
            <w:r>
              <w:t>Scrap Dealers</w:t>
            </w:r>
          </w:p>
        </w:tc>
        <w:tc>
          <w:tcPr>
            <w:tcW w:type="dxa" w:w="2280"/>
          </w:tcPr>
          <w:p>
            <w:r>
              <w:t>Local kabadi networks, TheKabadiwala (digital interface)</w:t>
            </w:r>
          </w:p>
        </w:tc>
        <w:tc>
          <w:tcPr>
            <w:tcW w:type="dxa" w:w="2280"/>
          </w:tcPr>
          <w:p>
            <w:r>
              <w:t>Informal / Platform</w:t>
            </w:r>
          </w:p>
        </w:tc>
        <w:tc>
          <w:tcPr>
            <w:tcW w:type="dxa" w:w="2280"/>
          </w:tcPr>
          <w:p>
            <w:r>
              <w:t>Neighbourhood dry-waste traders and digital interfaces</w:t>
            </w:r>
          </w:p>
        </w:tc>
      </w:tr>
      <w:tr>
        <w:tc>
          <w:tcPr>
            <w:tcW w:type="dxa" w:w="2280"/>
          </w:tcPr>
          <w:p>
            <w:r>
              <w:t>Aggregators</w:t>
            </w:r>
          </w:p>
        </w:tc>
        <w:tc>
          <w:tcPr>
            <w:tcW w:type="dxa" w:w="2280"/>
          </w:tcPr>
          <w:p>
            <w:r>
              <w:t>Recykal, GEM Enviro, Plastics for Change, Lucro, Cirqlo</w:t>
            </w:r>
          </w:p>
        </w:tc>
        <w:tc>
          <w:tcPr>
            <w:tcW w:type="dxa" w:w="2280"/>
          </w:tcPr>
          <w:p>
            <w:r>
              <w:t>Platform / EPR Manager</w:t>
            </w:r>
          </w:p>
        </w:tc>
        <w:tc>
          <w:tcPr>
            <w:tcW w:type="dxa" w:w="2280"/>
          </w:tcPr>
          <w:p>
            <w:r>
              <w:t>Digital marketplaces and traceability platforms</w:t>
            </w:r>
          </w:p>
        </w:tc>
      </w:tr>
      <w:tr>
        <w:tc>
          <w:tcPr>
            <w:tcW w:type="dxa" w:w="2280"/>
          </w:tcPr>
          <w:p>
            <w:r>
              <w:t>Recyclers</w:t>
            </w:r>
          </w:p>
        </w:tc>
        <w:tc>
          <w:tcPr>
            <w:tcW w:type="dxa" w:w="2280"/>
          </w:tcPr>
          <w:p>
            <w:r>
              <w:t>Banyan Nation, Lucro, Attero, Gravita, GEM Enviro, Deluxe</w:t>
            </w:r>
          </w:p>
        </w:tc>
        <w:tc>
          <w:tcPr>
            <w:tcW w:type="dxa" w:w="2280"/>
          </w:tcPr>
          <w:p>
            <w:r>
              <w:t>Private Industry</w:t>
            </w:r>
          </w:p>
        </w:tc>
        <w:tc>
          <w:tcPr>
            <w:tcW w:type="dxa" w:w="2280"/>
          </w:tcPr>
          <w:p>
            <w:r>
              <w:t>Plastic, metal, e-waste and multi-material recyclers</w:t>
            </w:r>
          </w:p>
        </w:tc>
      </w:tr>
      <w:tr>
        <w:tc>
          <w:tcPr>
            <w:tcW w:type="dxa" w:w="2280"/>
          </w:tcPr>
          <w:p>
            <w:r>
              <w:t>Transporters</w:t>
            </w:r>
          </w:p>
        </w:tc>
        <w:tc>
          <w:tcPr>
            <w:tcW w:type="dxa" w:w="2280"/>
          </w:tcPr>
          <w:p>
            <w:r>
              <w:t>ULB fleets, Antony fleets, producer take-back logistics</w:t>
            </w:r>
          </w:p>
        </w:tc>
        <w:tc>
          <w:tcPr>
            <w:tcW w:type="dxa" w:w="2280"/>
          </w:tcPr>
          <w:p>
            <w:r>
              <w:t>Public / Private</w:t>
            </w:r>
          </w:p>
        </w:tc>
        <w:tc>
          <w:tcPr>
            <w:tcW w:type="dxa" w:w="2280"/>
          </w:tcPr>
          <w:p>
            <w:r>
              <w:t>Primary, secondary and reverse logistics</w:t>
            </w:r>
          </w:p>
        </w:tc>
      </w:tr>
      <w:tr>
        <w:tc>
          <w:tcPr>
            <w:tcW w:type="dxa" w:w="2280"/>
          </w:tcPr>
          <w:p>
            <w:r>
              <w:t>Processors</w:t>
            </w:r>
          </w:p>
        </w:tc>
        <w:tc>
          <w:tcPr>
            <w:tcW w:type="dxa" w:w="2280"/>
          </w:tcPr>
          <w:p>
            <w:r>
              <w:t>GPS Renewables, IGRPL, Mailhem, Ramky Enviro, JTF Cities, Antony Lara</w:t>
            </w:r>
          </w:p>
        </w:tc>
        <w:tc>
          <w:tcPr>
            <w:tcW w:type="dxa" w:w="2280"/>
          </w:tcPr>
          <w:p>
            <w:r>
              <w:t>Private Industry</w:t>
            </w:r>
          </w:p>
        </w:tc>
        <w:tc>
          <w:tcPr>
            <w:tcW w:type="dxa" w:w="2280"/>
          </w:tcPr>
          <w:p>
            <w:r>
              <w:t>Compost, CBG, RDF, WtE and scientific landfill</w:t>
            </w:r>
          </w:p>
        </w:tc>
      </w:tr>
      <w:tr>
        <w:tc>
          <w:tcPr>
            <w:tcW w:type="dxa" w:w="2280"/>
          </w:tcPr>
          <w:p>
            <w:r>
              <w:t>Cross-cutting</w:t>
            </w:r>
          </w:p>
        </w:tc>
        <w:tc>
          <w:tcPr>
            <w:tcW w:type="dxa" w:w="2280"/>
          </w:tcPr>
          <w:p>
            <w:r>
              <w:t>MoHUA / SBM-U 2.0, SPCBs, UNDP India, Social Alpha, NIUA</w:t>
            </w:r>
          </w:p>
        </w:tc>
        <w:tc>
          <w:tcPr>
            <w:tcW w:type="dxa" w:w="2280"/>
          </w:tcPr>
          <w:p>
            <w:r>
              <w:t>Government / Development</w:t>
            </w:r>
          </w:p>
        </w:tc>
        <w:tc>
          <w:tcPr>
            <w:tcW w:type="dxa" w:w="2280"/>
          </w:tcPr>
          <w:p>
            <w:r>
              <w:t>Policy, regulation, technical assistance, catalytic capital</w:t>
            </w:r>
          </w:p>
        </w:tc>
      </w:tr>
    </w:tbl>
    <w:p/>
    <w:p>
      <w:pPr>
        <w:pStyle w:val="Heading1"/>
      </w:pPr>
      <w:r>
        <w:t>11. Funders, Philanthropy, CSR and Investors</w:t>
      </w:r>
    </w:p>
    <w:p>
      <w:r>
        <w:rPr>
          <w:b w:val="0"/>
          <w:i w:val="0"/>
          <w:sz w:val="22"/>
        </w:rPr>
        <w:t>Capital in the India waste system does not sit in one box. It shows up differently across behaviour change, inclusion, MRF infrastructure, recycling, processing, and legacy remediation. The following map covers the full spectrum from public budgets to venture capital.</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Focus Area</w:t>
            </w:r>
          </w:p>
        </w:tc>
        <w:tc>
          <w:tcPr>
            <w:tcW w:type="dxa" w:w="3041"/>
          </w:tcPr>
          <w:p>
            <w:r>
              <w:rPr>
                <w:b/>
              </w:rPr>
              <w:t>Capital Actors</w:t>
            </w:r>
          </w:p>
        </w:tc>
        <w:tc>
          <w:tcPr>
            <w:tcW w:type="dxa" w:w="3041"/>
          </w:tcPr>
          <w:p>
            <w:r>
              <w:rPr>
                <w:b/>
              </w:rPr>
              <w:t>Type</w:t>
            </w:r>
          </w:p>
        </w:tc>
      </w:tr>
      <w:tr>
        <w:tc>
          <w:tcPr>
            <w:tcW w:type="dxa" w:w="3041"/>
          </w:tcPr>
          <w:p>
            <w:r>
              <w:t>Source segregation &amp; behaviour change</w:t>
            </w:r>
          </w:p>
        </w:tc>
        <w:tc>
          <w:tcPr>
            <w:tcW w:type="dxa" w:w="3041"/>
          </w:tcPr>
          <w:p>
            <w:r>
              <w:t>HUL-MoHUA, Tata Trusts, UNDP India, H&amp;M Foundation, BMGF, ITC WOW, Coca-Cola Anandana, Reliance Foundation</w:t>
            </w:r>
          </w:p>
        </w:tc>
        <w:tc>
          <w:tcPr>
            <w:tcW w:type="dxa" w:w="3041"/>
          </w:tcPr>
          <w:p>
            <w:r>
              <w:t>Philanthropy / CSR / Development</w:t>
            </w:r>
          </w:p>
        </w:tc>
      </w:tr>
      <w:tr>
        <w:tc>
          <w:tcPr>
            <w:tcW w:type="dxa" w:w="3041"/>
          </w:tcPr>
          <w:p>
            <w:r>
              <w:t>Informal worker inclusion &amp; livelihoods</w:t>
            </w:r>
          </w:p>
        </w:tc>
        <w:tc>
          <w:tcPr>
            <w:tcW w:type="dxa" w:w="3041"/>
          </w:tcPr>
          <w:p>
            <w:r>
              <w:t>H&amp;M Foundation, The Body Shop x Plastics for Change, Tata Trusts</w:t>
            </w:r>
          </w:p>
        </w:tc>
        <w:tc>
          <w:tcPr>
            <w:tcW w:type="dxa" w:w="3041"/>
          </w:tcPr>
          <w:p>
            <w:r>
              <w:t>Philanthropy / Fair Trade</w:t>
            </w:r>
          </w:p>
        </w:tc>
      </w:tr>
      <w:tr>
        <w:tc>
          <w:tcPr>
            <w:tcW w:type="dxa" w:w="3041"/>
          </w:tcPr>
          <w:p>
            <w:r>
              <w:t>Formal collection &amp; transport</w:t>
            </w:r>
          </w:p>
        </w:tc>
        <w:tc>
          <w:tcPr>
            <w:tcW w:type="dxa" w:w="3041"/>
          </w:tcPr>
          <w:p>
            <w:r>
              <w:t>Municipal opex, concessionaire finance, fleet leasing, producer take-back budgets</w:t>
            </w:r>
          </w:p>
        </w:tc>
        <w:tc>
          <w:tcPr>
            <w:tcW w:type="dxa" w:w="3041"/>
          </w:tcPr>
          <w:p>
            <w:r>
              <w:t>Public / Commercial</w:t>
            </w:r>
          </w:p>
        </w:tc>
      </w:tr>
      <w:tr>
        <w:tc>
          <w:tcPr>
            <w:tcW w:type="dxa" w:w="3041"/>
          </w:tcPr>
          <w:p>
            <w:r>
              <w:t>MRFs, traceability &amp; digitisation</w:t>
            </w:r>
          </w:p>
        </w:tc>
        <w:tc>
          <w:tcPr>
            <w:tcW w:type="dxa" w:w="3041"/>
          </w:tcPr>
          <w:p>
            <w:r>
              <w:t>Social Alpha, Startup Gateway pilots, Sequoia Capital, Lightspeed, Circulate Capital</w:t>
            </w:r>
          </w:p>
        </w:tc>
        <w:tc>
          <w:tcPr>
            <w:tcW w:type="dxa" w:w="3041"/>
          </w:tcPr>
          <w:p>
            <w:r>
              <w:t>Impact / VC</w:t>
            </w:r>
          </w:p>
        </w:tc>
      </w:tr>
      <w:tr>
        <w:tc>
          <w:tcPr>
            <w:tcW w:type="dxa" w:w="3041"/>
          </w:tcPr>
          <w:p>
            <w:r>
              <w:t>Aggregation &amp; recycling capital</w:t>
            </w:r>
          </w:p>
        </w:tc>
        <w:tc>
          <w:tcPr>
            <w:tcW w:type="dxa" w:w="3041"/>
          </w:tcPr>
          <w:p>
            <w:r>
              <w:t>Circulate Capital, Claypond Capital, Jungle Ventures, Sequoia, Manipal Group, Kiya, Unilever</w:t>
            </w:r>
          </w:p>
        </w:tc>
        <w:tc>
          <w:tcPr>
            <w:tcW w:type="dxa" w:w="3041"/>
          </w:tcPr>
          <w:p>
            <w:r>
              <w:t>VC / Growth Equity / Strategic</w:t>
            </w:r>
          </w:p>
        </w:tc>
      </w:tr>
      <w:tr>
        <w:tc>
          <w:tcPr>
            <w:tcW w:type="dxa" w:w="3041"/>
          </w:tcPr>
          <w:p>
            <w:r>
              <w:t>Corporate circularity &amp; EPR</w:t>
            </w:r>
          </w:p>
        </w:tc>
        <w:tc>
          <w:tcPr>
            <w:tcW w:type="dxa" w:w="3041"/>
          </w:tcPr>
          <w:p>
            <w:r>
              <w:t>Social Alpha, Vodafone, Samsung, Chevron-Phillips, Borealis</w:t>
            </w:r>
          </w:p>
        </w:tc>
        <w:tc>
          <w:tcPr>
            <w:tcW w:type="dxa" w:w="3041"/>
          </w:tcPr>
          <w:p>
            <w:r>
              <w:t>Corporate / Strategic</w:t>
            </w:r>
          </w:p>
        </w:tc>
      </w:tr>
      <w:tr>
        <w:tc>
          <w:tcPr>
            <w:tcW w:type="dxa" w:w="3041"/>
          </w:tcPr>
          <w:p>
            <w:r>
              <w:t>Processing &amp; bio-CBG strategies</w:t>
            </w:r>
          </w:p>
        </w:tc>
        <w:tc>
          <w:tcPr>
            <w:tcW w:type="dxa" w:w="3041"/>
          </w:tcPr>
          <w:p>
            <w:r>
              <w:t>Oil India, GPS Renewables, IGRPL, LAAVI, Gobind, GPC2</w:t>
            </w:r>
          </w:p>
        </w:tc>
        <w:tc>
          <w:tcPr>
            <w:tcW w:type="dxa" w:w="3041"/>
          </w:tcPr>
          <w:p>
            <w:r>
              <w:t>Project Finance / Energy</w:t>
            </w:r>
          </w:p>
        </w:tc>
      </w:tr>
      <w:tr>
        <w:tc>
          <w:tcPr>
            <w:tcW w:type="dxa" w:w="3041"/>
          </w:tcPr>
          <w:p>
            <w:r>
              <w:t>Legacy dumpsite remediation</w:t>
            </w:r>
          </w:p>
        </w:tc>
        <w:tc>
          <w:tcPr>
            <w:tcW w:type="dxa" w:w="3041"/>
          </w:tcPr>
          <w:p>
            <w:r>
              <w:t>BMGF, UNDP India, L&amp;DoEa, Environ Jal, Indore MC</w:t>
            </w:r>
          </w:p>
        </w:tc>
        <w:tc>
          <w:tcPr>
            <w:tcW w:type="dxa" w:w="3041"/>
          </w:tcPr>
          <w:p>
            <w:r>
              <w:t>Blended / Public / Climate</w:t>
            </w:r>
          </w:p>
        </w:tc>
      </w:tr>
      <w:tr>
        <w:tc>
          <w:tcPr>
            <w:tcW w:type="dxa" w:w="3041"/>
          </w:tcPr>
          <w:p>
            <w:r>
              <w:t>City systems &amp; public finance</w:t>
            </w:r>
          </w:p>
        </w:tc>
        <w:tc>
          <w:tcPr>
            <w:tcW w:type="dxa" w:w="3041"/>
          </w:tcPr>
          <w:p>
            <w:r>
              <w:t>MoHUA, SBM-U 2.0, CPCB, SPCBs, State Urban Departments</w:t>
            </w:r>
          </w:p>
        </w:tc>
        <w:tc>
          <w:tcPr>
            <w:tcW w:type="dxa" w:w="3041"/>
          </w:tcPr>
          <w:p>
            <w:r>
              <w:t>Government</w:t>
            </w:r>
          </w:p>
        </w:tc>
      </w:tr>
    </w:tbl>
    <w:p/>
    <w:p>
      <w:pPr>
        <w:pStyle w:val="Heading1"/>
      </w:pPr>
      <w:r>
        <w:t>12. Strategic Focus Areas</w:t>
      </w:r>
    </w:p>
    <w:p>
      <w:r>
        <w:rPr>
          <w:b/>
          <w:color w:val="007B5E"/>
          <w:sz w:val="24"/>
        </w:rPr>
        <w:t xml:space="preserve">Integration: </w:t>
      </w:r>
      <w:r>
        <w:rPr>
          <w:sz w:val="22"/>
        </w:rPr>
        <w:t>The highest-leverage intervention in the system is connecting the fragmented mid-chain — MRF → scrap dealer → aggregator → recycler — with traceability, pricing transparency, and working capital. This does not require new infrastructure; it requires data and finance products built on existing actor networks.</w:t>
      </w:r>
    </w:p>
    <w:p/>
    <w:p>
      <w:r>
        <w:rPr>
          <w:b/>
          <w:color w:val="007B5E"/>
          <w:sz w:val="24"/>
        </w:rPr>
        <w:t xml:space="preserve">Working Capital: </w:t>
      </w:r>
      <w:r>
        <w:rPr>
          <w:sz w:val="22"/>
        </w:rPr>
        <w:t>The mid-chain operates on cash, trust, and relationship. Unlocking even modest working capital for scrap dealers and aggregators — inventory finance, EPR-linked purchase orders — would increase material recovery rates and reduce leakage without requiring any new physical infrastructure.</w:t>
      </w:r>
    </w:p>
    <w:p/>
    <w:p>
      <w:r>
        <w:rPr>
          <w:b/>
          <w:color w:val="007B5E"/>
          <w:sz w:val="24"/>
        </w:rPr>
        <w:t xml:space="preserve">Inclusion: </w:t>
      </w:r>
      <w:r>
        <w:rPr>
          <w:sz w:val="22"/>
        </w:rPr>
        <w:t>Formalising India's waste-picking workforce into city data systems, social protection, and EPR payment flows is simultaneously a justice imperative and a systemic efficiency gain. The SWaCH and Hasiru Dala models are ready for national replication with the right policy and funding support.</w:t>
      </w:r>
    </w:p>
    <w:p/>
    <w:p>
      <w:pPr>
        <w:pStyle w:val="Heading1"/>
      </w:pPr>
      <w:r>
        <w:t>13. Conclusion</w:t>
      </w:r>
    </w:p>
    <w:p>
      <w:r>
        <w:rPr>
          <w:b w:val="0"/>
          <w:i w:val="0"/>
          <w:sz w:val="22"/>
        </w:rPr>
        <w:t>India's urban waste system is not starting from zero. It has collection infrastructure, informal recovery capacity, processing assets, a nascent EPR economy, and a growing pool of mission-aligned capital. The question is no longer whether the system exists — it is whether it can be made to function as an integrated whole.</w:t>
      </w:r>
    </w:p>
    <w:p>
      <w:r>
        <w:rPr>
          <w:b w:val="0"/>
          <w:i w:val="0"/>
          <w:sz w:val="22"/>
        </w:rPr>
        <w:t>The interventions that matter most — traceability, working capital, informal worker inclusion, and segregation compliance — are not primarily infrastructure problems. They are coordination, data, and finance problems. Solving them requires actors across the public, private, and civil society spectrum to work within the same system logic, rather than in parallel silos.</w:t>
      </w:r>
    </w:p>
    <w:p>
      <w:r>
        <w:rPr>
          <w:b w:val="0"/>
          <w:i w:val="0"/>
          <w:sz w:val="22"/>
        </w:rPr>
        <w:t>The Waste Canvas framework presented here — mapping actors, capital, gaps, and bottlenecks across nine system blocks — is intended to provide that shared logic: a common reference for investors, government bodies, NGOs, and entrepreneurs to orient their work, identify white spaces, and design interventions that compound rather than duplicate.</w:t>
      </w:r>
    </w:p>
    <w:p/>
    <w:p>
      <w:r>
        <w:rPr>
          <w:b/>
        </w:rPr>
        <w:t xml:space="preserve">Data Sources: </w:t>
      </w:r>
      <w:r>
        <w:rPr>
          <w:color w:val="777777"/>
          <w:sz w:val="18"/>
        </w:rPr>
        <w:t>CPCB Annual Report on SWM FY 2021-22 | GFC Star Rating Assessment 2024-25 | Press Information Bureau releases January and March 2026 | MoHUA / SBM-U 2.0 national dashboards</w:t>
      </w:r>
    </w:p>
    <w:p>
      <w:r>
        <w:rPr>
          <w:i/>
          <w:color w:val="999999"/>
          <w:sz w:val="18"/>
        </w:rPr>
        <w:t>Urban Tracker — Waste Canvas  |  April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