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B3A6B"/>
          <w:sz w:val="72"/>
          <w:szCs w:val="72"/>
        </w:rPr>
        <w:t xml:space="preserve">TANGEDCO</w:t>
      </w:r>
    </w:p>
    <w:p>
      <w:pPr>
        <w:spacing w:after="80" w:before="0"/>
        <w:jc w:val="center"/>
      </w:pPr>
      <w:r>
        <w:rPr>
          <w:rFonts w:ascii="Arial" w:cs="Arial" w:eastAsia="Arial" w:hAnsi="Arial"/>
          <w:b/>
          <w:bCs/>
          <w:color w:val="C0392B"/>
          <w:sz w:val="44"/>
          <w:szCs w:val="44"/>
        </w:rPr>
        <w:t xml:space="preserve">Cybersecurity Risk Assessment Report</w:t>
      </w:r>
    </w:p>
    <w:p>
      <w:pPr>
        <w:spacing w:after="360" w:before="0"/>
        <w:jc w:val="center"/>
      </w:pPr>
      <w:r>
        <w:rPr>
          <w:rFonts w:ascii="Arial" w:cs="Arial" w:eastAsia="Arial" w:hAnsi="Arial"/>
          <w:i/>
          <w:iCs/>
          <w:color w:val="555555"/>
          <w:sz w:val="24"/>
          <w:szCs w:val="24"/>
        </w:rPr>
        <w:t xml:space="preserve">Tamil Nadu Generation and Distribution Corporation Limited</w:t>
      </w:r>
    </w:p>
    <w:p>
      <w:pPr>
        <w:pBdr>
          <w:bottom w:val="single" w:color="1B3A6B" w:sz="8" w:space="2"/>
        </w:pBdr>
        <w:spacing w:after="360" w:before="0"/>
      </w:pPr>
    </w:p>
    <w:p>
      <w:pPr>
        <w:spacing w:after="60" w:before="60"/>
        <w:jc w:val="center"/>
      </w:pPr>
      <w:r>
        <w:rPr>
          <w:rFonts w:ascii="Arial" w:cs="Arial" w:eastAsia="Arial" w:hAnsi="Arial"/>
          <w:color w:val="222222"/>
          <w:sz w:val="22"/>
          <w:szCs w:val="22"/>
        </w:rPr>
        <w:t xml:space="preserve">Framework: ISO/IEC 27001:2022</w:t>
      </w:r>
    </w:p>
    <w:p>
      <w:pPr>
        <w:spacing w:after="60" w:before="60"/>
        <w:jc w:val="center"/>
      </w:pPr>
      <w:r>
        <w:rPr>
          <w:rFonts w:ascii="Arial" w:cs="Arial" w:eastAsia="Arial" w:hAnsi="Arial"/>
          <w:color w:val="222222"/>
          <w:sz w:val="22"/>
          <w:szCs w:val="22"/>
        </w:rPr>
        <w:t xml:space="preserve">Domains: IT Infrastructure &amp; Data Centers | OT/SCADA &amp; Grid Control Systems</w:t>
      </w:r>
    </w:p>
    <w:p>
      <w:pPr>
        <w:spacing w:after="60" w:before="60"/>
        <w:jc w:val="center"/>
      </w:pPr>
      <w:r>
        <w:rPr>
          <w:rFonts w:ascii="Arial" w:cs="Arial" w:eastAsia="Arial" w:hAnsi="Arial"/>
          <w:color w:val="222222"/>
          <w:sz w:val="22"/>
          <w:szCs w:val="22"/>
        </w:rPr>
        <w:t xml:space="preserve">Methodology: Semi-Quantitative Risk Scoring (Likelihood × Impact)</w:t>
      </w:r>
    </w:p>
    <w:p>
      <w:pPr>
        <w:spacing w:after="60" w:before="60"/>
        <w:jc w:val="center"/>
      </w:pPr>
      <w:r>
        <w:rPr>
          <w:rFonts w:ascii="Arial" w:cs="Arial" w:eastAsia="Arial" w:hAnsi="Arial"/>
          <w:color w:val="222222"/>
          <w:sz w:val="22"/>
          <w:szCs w:val="22"/>
        </w:rPr>
        <w:t xml:space="preserve">Classification: CONFIDENTIAL – RESTRICTED</w:t>
      </w:r>
    </w:p>
    <w:p>
      <w:pPr>
        <w:spacing w:after="60" w:before="60"/>
        <w:jc w:val="center"/>
      </w:pPr>
      <w:r>
        <w:rPr>
          <w:rFonts w:ascii="Arial" w:cs="Arial" w:eastAsia="Arial" w:hAnsi="Arial"/>
          <w:color w:val="222222"/>
          <w:sz w:val="22"/>
          <w:szCs w:val="22"/>
        </w:rPr>
        <w:t xml:space="preserve">Assessment Date: May 2025</w:t>
      </w:r>
    </w:p>
    <w:p>
      <w:pPr>
        <w:spacing w:after="60" w:before="60"/>
        <w:jc w:val="center"/>
      </w:pPr>
      <w:r>
        <w:rPr>
          <w:rFonts w:ascii="Arial" w:cs="Arial" w:eastAsia="Arial" w:hAnsi="Arial"/>
          <w:color w:val="222222"/>
          <w:sz w:val="22"/>
          <w:szCs w:val="22"/>
        </w:rPr>
        <w:t xml:space="preserve">Version: 1.0</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 Executive Summary</w:t>
      </w:r>
    </w:p>
    <w:p>
      <w:pPr>
        <w:spacing w:after="60" w:before="60"/>
      </w:pPr>
      <w:r>
        <w:rPr>
          <w:rFonts w:ascii="Arial" w:cs="Arial" w:eastAsia="Arial" w:hAnsi="Arial"/>
          <w:color w:val="000000"/>
          <w:sz w:val="22"/>
          <w:szCs w:val="22"/>
        </w:rPr>
        <w:t xml:space="preserve">This Cybersecurity Risk Assessment has been conducted for the Tamil Nadu Generation and Distribution Corporation Limited (TANGEDCO) to identify, evaluate, and prioritise cybersecurity risks across its IT infrastructure and Operational Technology (OT)/SCADA environments. The assessment is aligned to the ISO/IEC 27001:2022 Information Security Management System (ISMS) standard and employs a semi-quantitative risk scoring methodology.</w:t>
      </w:r>
    </w:p>
    <w:p>
      <w:pPr>
        <w:spacing w:after="0" w:before="0"/>
      </w:pPr>
      <w:r>
        <w:t xml:space="preserve"/>
      </w:r>
    </w:p>
    <w:p>
      <w:pPr>
        <w:spacing w:after="60" w:before="60"/>
      </w:pPr>
      <w:r>
        <w:rPr>
          <w:rFonts w:ascii="Arial" w:cs="Arial" w:eastAsia="Arial" w:hAnsi="Arial"/>
          <w:color w:val="000000"/>
          <w:sz w:val="22"/>
          <w:szCs w:val="22"/>
        </w:rPr>
        <w:t xml:space="preserve">TANGEDCO, as Tamil Nadu's primary electricity generation and distribution utility, operates critical infrastructure that directly affects millions of citizens and industrial consumers. A successful cyberattack on its grid control systems or corporate IT could result in widespread power outages, financial losses, regulatory penalties, and reputational damage.</w:t>
      </w:r>
    </w:p>
    <w:p>
      <w:pPr>
        <w:spacing w:after="0" w:before="0"/>
      </w:pPr>
      <w:r>
        <w:t xml:space="preserve"/>
      </w:r>
    </w:p>
    <w:p>
      <w:pPr>
        <w:pStyle w:val="Heading3"/>
        <w:spacing w:after="80" w:before="160"/>
      </w:pPr>
      <w:r>
        <w:rPr>
          <w:rFonts w:ascii="Arial" w:cs="Arial" w:eastAsia="Arial" w:hAnsi="Arial"/>
          <w:b/>
          <w:bCs/>
          <w:color w:val="555555"/>
          <w:sz w:val="22"/>
          <w:szCs w:val="22"/>
        </w:rPr>
        <w:t xml:space="preserve">Key Findings</w:t>
      </w:r>
    </w:p>
    <w:p>
      <w:pPr>
        <w:pStyle w:val="ListParagraph"/>
        <w:numPr>
          <w:ilvl w:val="0"/>
          <w:numId w:val="2"/>
        </w:numPr>
        <w:spacing w:after="40" w:before="40"/>
      </w:pPr>
      <w:r>
        <w:rPr>
          <w:rFonts w:ascii="Arial" w:cs="Arial" w:eastAsia="Arial" w:hAnsi="Arial"/>
          <w:sz w:val="22"/>
          <w:szCs w:val="22"/>
        </w:rPr>
        <w:t xml:space="preserve">16 risks identified across IT and OT/SCADA domains — 6 rated Critical, 8 rated High, 2 rated Medium.</w:t>
      </w:r>
    </w:p>
    <w:p>
      <w:pPr>
        <w:pStyle w:val="ListParagraph"/>
        <w:numPr>
          <w:ilvl w:val="0"/>
          <w:numId w:val="2"/>
        </w:numPr>
        <w:spacing w:after="40" w:before="40"/>
      </w:pPr>
      <w:r>
        <w:rPr>
          <w:rFonts w:ascii="Arial" w:cs="Arial" w:eastAsia="Arial" w:hAnsi="Arial"/>
          <w:sz w:val="22"/>
          <w:szCs w:val="22"/>
        </w:rPr>
        <w:t xml:space="preserve">The IT–OT network boundary is inadequately segmented, presenting the highest lateral-movement risk across both environments.</w:t>
      </w:r>
    </w:p>
    <w:p>
      <w:pPr>
        <w:pStyle w:val="ListParagraph"/>
        <w:numPr>
          <w:ilvl w:val="0"/>
          <w:numId w:val="2"/>
        </w:numPr>
        <w:spacing w:after="40" w:before="40"/>
      </w:pPr>
      <w:r>
        <w:rPr>
          <w:rFonts w:ascii="Arial" w:cs="Arial" w:eastAsia="Arial" w:hAnsi="Arial"/>
          <w:sz w:val="22"/>
          <w:szCs w:val="22"/>
        </w:rPr>
        <w:t xml:space="preserve">No organisation-wide Privileged Access Management (PAM) solution exists; shared accounts are in use in both IT and SCADA environments.</w:t>
      </w:r>
    </w:p>
    <w:p>
      <w:pPr>
        <w:pStyle w:val="ListParagraph"/>
        <w:numPr>
          <w:ilvl w:val="0"/>
          <w:numId w:val="2"/>
        </w:numPr>
        <w:spacing w:after="40" w:before="40"/>
      </w:pPr>
      <w:r>
        <w:rPr>
          <w:rFonts w:ascii="Arial" w:cs="Arial" w:eastAsia="Arial" w:hAnsi="Arial"/>
          <w:sz w:val="22"/>
          <w:szCs w:val="22"/>
        </w:rPr>
        <w:t xml:space="preserve">OT/SCADA devices (PLCs, RTUs) run unpatched firmware; passive vulnerability scanning for ICS has not been implemented.</w:t>
      </w:r>
    </w:p>
    <w:p>
      <w:pPr>
        <w:pStyle w:val="ListParagraph"/>
        <w:numPr>
          <w:ilvl w:val="0"/>
          <w:numId w:val="2"/>
        </w:numPr>
        <w:spacing w:after="40" w:before="40"/>
      </w:pPr>
      <w:r>
        <w:rPr>
          <w:rFonts w:ascii="Arial" w:cs="Arial" w:eastAsia="Arial" w:hAnsi="Arial"/>
          <w:sz w:val="22"/>
          <w:szCs w:val="22"/>
        </w:rPr>
        <w:t xml:space="preserve">Security awareness training is absent; phishing remains the most probable initial access vector.</w:t>
      </w:r>
    </w:p>
    <w:p>
      <w:pPr>
        <w:pStyle w:val="ListParagraph"/>
        <w:numPr>
          <w:ilvl w:val="0"/>
          <w:numId w:val="2"/>
        </w:numPr>
        <w:spacing w:after="40" w:before="40"/>
      </w:pPr>
      <w:r>
        <w:rPr>
          <w:rFonts w:ascii="Arial" w:cs="Arial" w:eastAsia="Arial" w:hAnsi="Arial"/>
          <w:sz w:val="22"/>
          <w:szCs w:val="22"/>
        </w:rPr>
        <w:t xml:space="preserve">10 gaps identified against ISO/IEC 27001:2022 Annex A controls — 5 Non-Conformant, 5 Partial.</w:t>
      </w:r>
    </w:p>
    <w:p>
      <w:pPr>
        <w:spacing w:after="0" w:before="0"/>
      </w:pPr>
      <w:r>
        <w:t xml:space="preserve"/>
      </w:r>
    </w:p>
    <w:p>
      <w:pPr>
        <w:pStyle w:val="Heading3"/>
        <w:spacing w:after="80" w:before="160"/>
      </w:pPr>
      <w:r>
        <w:rPr>
          <w:rFonts w:ascii="Arial" w:cs="Arial" w:eastAsia="Arial" w:hAnsi="Arial"/>
          <w:b/>
          <w:bCs/>
          <w:color w:val="555555"/>
          <w:sz w:val="22"/>
          <w:szCs w:val="22"/>
        </w:rPr>
        <w:t xml:space="preserve">Top Immediate Priorities</w:t>
      </w:r>
    </w:p>
    <w:p>
      <w:pPr>
        <w:pStyle w:val="ListParagraph"/>
        <w:numPr>
          <w:ilvl w:val="0"/>
          <w:numId w:val="2"/>
        </w:numPr>
        <w:spacing w:after="40" w:before="40"/>
      </w:pPr>
      <w:r>
        <w:rPr>
          <w:rFonts w:ascii="Arial" w:cs="Arial" w:eastAsia="Arial" w:hAnsi="Arial"/>
          <w:sz w:val="22"/>
          <w:szCs w:val="22"/>
        </w:rPr>
        <w:t xml:space="preserve">Deploy MFA across all IT and OT remote access pathways.</w:t>
      </w:r>
    </w:p>
    <w:p>
      <w:pPr>
        <w:pStyle w:val="ListParagraph"/>
        <w:numPr>
          <w:ilvl w:val="0"/>
          <w:numId w:val="2"/>
        </w:numPr>
        <w:spacing w:after="40" w:before="40"/>
      </w:pPr>
      <w:r>
        <w:rPr>
          <w:rFonts w:ascii="Arial" w:cs="Arial" w:eastAsia="Arial" w:hAnsi="Arial"/>
          <w:sz w:val="22"/>
          <w:szCs w:val="22"/>
        </w:rPr>
        <w:t xml:space="preserve">Implement network segmentation (DMZ / Purdue Model) between corporate LAN and SCADA networks.</w:t>
      </w:r>
    </w:p>
    <w:p>
      <w:pPr>
        <w:pStyle w:val="ListParagraph"/>
        <w:numPr>
          <w:ilvl w:val="0"/>
          <w:numId w:val="2"/>
        </w:numPr>
        <w:spacing w:after="40" w:before="40"/>
      </w:pPr>
      <w:r>
        <w:rPr>
          <w:rFonts w:ascii="Arial" w:cs="Arial" w:eastAsia="Arial" w:hAnsi="Arial"/>
          <w:sz w:val="22"/>
          <w:szCs w:val="22"/>
        </w:rPr>
        <w:t xml:space="preserve">Stand up an OT-safe intrusion detection capability (e.g., Dragos, Claroty).</w:t>
      </w:r>
    </w:p>
    <w:p>
      <w:pPr>
        <w:pStyle w:val="ListParagraph"/>
        <w:numPr>
          <w:ilvl w:val="0"/>
          <w:numId w:val="2"/>
        </w:numPr>
        <w:spacing w:after="40" w:before="40"/>
      </w:pPr>
      <w:r>
        <w:rPr>
          <w:rFonts w:ascii="Arial" w:cs="Arial" w:eastAsia="Arial" w:hAnsi="Arial"/>
          <w:sz w:val="22"/>
          <w:szCs w:val="22"/>
        </w:rPr>
        <w:t xml:space="preserve">Deploy a PAM solution and eliminate all shared privileged accounts.</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2. Organisation Overview</w:t>
      </w:r>
    </w:p>
    <w:p>
      <w:pPr>
        <w:pStyle w:val="Heading2"/>
        <w:spacing w:after="120" w:before="240"/>
      </w:pPr>
      <w:r>
        <w:rPr>
          <w:rFonts w:ascii="Arial" w:cs="Arial" w:eastAsia="Arial" w:hAnsi="Arial"/>
          <w:b/>
          <w:bCs/>
          <w:color w:val="1B3A6B"/>
          <w:sz w:val="26"/>
          <w:szCs w:val="26"/>
        </w:rPr>
        <w:t xml:space="preserve">2.1 Background</w:t>
      </w:r>
    </w:p>
    <w:p>
      <w:pPr>
        <w:spacing w:after="60" w:before="60"/>
      </w:pPr>
      <w:r>
        <w:rPr>
          <w:rFonts w:ascii="Arial" w:cs="Arial" w:eastAsia="Arial" w:hAnsi="Arial"/>
          <w:color w:val="000000"/>
          <w:sz w:val="22"/>
          <w:szCs w:val="22"/>
        </w:rPr>
        <w:t xml:space="preserve">TANGEDCO (Tamil Nadu Generation and Distribution Corporation Limited) is a state-owned enterprise wholly owned by the Government of Tamil Nadu. It was formed in 2010 following the bifurcation of the Tamil Nadu Electricity Board (TNEB) into two entities: TANGEDCO for generation and distribution, and TANTRANSCO for transmission.</w:t>
      </w:r>
    </w:p>
    <w:p>
      <w:pPr>
        <w:spacing w:after="0" w:before="0"/>
      </w:pPr>
      <w:r>
        <w:t xml:space="preserve"/>
      </w:r>
    </w:p>
    <w:p>
      <w:pPr>
        <w:spacing w:after="60" w:before="60"/>
      </w:pPr>
      <w:r>
        <w:rPr>
          <w:rFonts w:ascii="Arial" w:cs="Arial" w:eastAsia="Arial" w:hAnsi="Arial"/>
          <w:color w:val="000000"/>
          <w:sz w:val="22"/>
          <w:szCs w:val="22"/>
        </w:rPr>
        <w:t xml:space="preserve">TANGEDCO operates an extensive power infrastructure spanning over 4,100 MW of installed generation capacity across thermal, hydro, wind, and solar plants, and distributes electricity to approximately 3 crore consumers across Tamil Nadu through a network of thousands of substations and distribution points.</w:t>
      </w:r>
    </w:p>
    <w:p>
      <w:pPr>
        <w:pStyle w:val="Heading2"/>
        <w:spacing w:after="120" w:before="240"/>
      </w:pPr>
      <w:r>
        <w:rPr>
          <w:rFonts w:ascii="Arial" w:cs="Arial" w:eastAsia="Arial" w:hAnsi="Arial"/>
          <w:b/>
          <w:bCs/>
          <w:color w:val="1B3A6B"/>
          <w:sz w:val="26"/>
          <w:szCs w:val="26"/>
        </w:rPr>
        <w:t xml:space="preserve">2.2 Regulatory Context</w:t>
      </w:r>
    </w:p>
    <w:p>
      <w:pPr>
        <w:pStyle w:val="ListParagraph"/>
        <w:numPr>
          <w:ilvl w:val="0"/>
          <w:numId w:val="2"/>
        </w:numPr>
        <w:spacing w:after="40" w:before="40"/>
      </w:pPr>
      <w:r>
        <w:rPr>
          <w:rFonts w:ascii="Arial" w:cs="Arial" w:eastAsia="Arial" w:hAnsi="Arial"/>
          <w:sz w:val="22"/>
          <w:szCs w:val="22"/>
        </w:rPr>
        <w:t xml:space="preserve">Central Electricity Authority (CEA) Cyber Security Guidelines for Power Sector (2021, amended 2023)</w:t>
      </w:r>
    </w:p>
    <w:p>
      <w:pPr>
        <w:pStyle w:val="ListParagraph"/>
        <w:numPr>
          <w:ilvl w:val="0"/>
          <w:numId w:val="2"/>
        </w:numPr>
        <w:spacing w:after="40" w:before="40"/>
      </w:pPr>
      <w:r>
        <w:rPr>
          <w:rFonts w:ascii="Arial" w:cs="Arial" w:eastAsia="Arial" w:hAnsi="Arial"/>
          <w:sz w:val="22"/>
          <w:szCs w:val="22"/>
        </w:rPr>
        <w:t xml:space="preserve">Information Technology Act, 2000 and IT (Amendment) Act, 2008</w:t>
      </w:r>
    </w:p>
    <w:p>
      <w:pPr>
        <w:pStyle w:val="ListParagraph"/>
        <w:numPr>
          <w:ilvl w:val="0"/>
          <w:numId w:val="2"/>
        </w:numPr>
        <w:spacing w:after="40" w:before="40"/>
      </w:pPr>
      <w:r>
        <w:rPr>
          <w:rFonts w:ascii="Arial" w:cs="Arial" w:eastAsia="Arial" w:hAnsi="Arial"/>
          <w:sz w:val="22"/>
          <w:szCs w:val="22"/>
        </w:rPr>
        <w:t xml:space="preserve">CERT-In Directions under Section 70B of the IT Act (2022)</w:t>
      </w:r>
    </w:p>
    <w:p>
      <w:pPr>
        <w:pStyle w:val="ListParagraph"/>
        <w:numPr>
          <w:ilvl w:val="0"/>
          <w:numId w:val="2"/>
        </w:numPr>
        <w:spacing w:after="40" w:before="40"/>
      </w:pPr>
      <w:r>
        <w:rPr>
          <w:rFonts w:ascii="Arial" w:cs="Arial" w:eastAsia="Arial" w:hAnsi="Arial"/>
          <w:sz w:val="22"/>
          <w:szCs w:val="22"/>
        </w:rPr>
        <w:t xml:space="preserve">Digital Personal Data Protection Act (DPDPA), 2023</w:t>
      </w:r>
    </w:p>
    <w:p>
      <w:pPr>
        <w:pStyle w:val="ListParagraph"/>
        <w:numPr>
          <w:ilvl w:val="0"/>
          <w:numId w:val="2"/>
        </w:numPr>
        <w:spacing w:after="40" w:before="40"/>
      </w:pPr>
      <w:r>
        <w:rPr>
          <w:rFonts w:ascii="Arial" w:cs="Arial" w:eastAsia="Arial" w:hAnsi="Arial"/>
          <w:sz w:val="22"/>
          <w:szCs w:val="22"/>
        </w:rPr>
        <w:t xml:space="preserve">National Cyber Security Policy 2013 and forthcoming NCSP 2025</w:t>
      </w:r>
    </w:p>
    <w:p>
      <w:pPr>
        <w:spacing w:after="0" w:before="0"/>
      </w:pPr>
      <w:r>
        <w:t xml:space="preserve"/>
      </w:r>
    </w:p>
    <w:p>
      <w:pPr>
        <w:pStyle w:val="Heading2"/>
        <w:spacing w:after="120" w:before="240"/>
      </w:pPr>
      <w:r>
        <w:rPr>
          <w:rFonts w:ascii="Arial" w:cs="Arial" w:eastAsia="Arial" w:hAnsi="Arial"/>
          <w:b/>
          <w:bCs/>
          <w:color w:val="1B3A6B"/>
          <w:sz w:val="26"/>
          <w:szCs w:val="26"/>
        </w:rPr>
        <w:t xml:space="preserve">2.3 Technology Landscape</w:t>
      </w:r>
    </w:p>
    <w:p>
      <w:pPr>
        <w:spacing w:after="60" w:before="60"/>
      </w:pPr>
      <w:r>
        <w:rPr>
          <w:rFonts w:ascii="Arial" w:cs="Arial" w:eastAsia="Arial" w:hAnsi="Arial"/>
          <w:color w:val="000000"/>
          <w:sz w:val="22"/>
          <w:szCs w:val="22"/>
        </w:rPr>
        <w:t xml:space="preserve">TANGEDCO's technology environment spans two distinct but increasingly converged domains:</w:t>
      </w:r>
    </w:p>
    <w:p>
      <w:pPr>
        <w:pStyle w:val="ListParagraph"/>
        <w:numPr>
          <w:ilvl w:val="0"/>
          <w:numId w:val="2"/>
        </w:numPr>
        <w:spacing w:after="40" w:before="40"/>
      </w:pPr>
      <w:r>
        <w:rPr>
          <w:rFonts w:ascii="Arial" w:cs="Arial" w:eastAsia="Arial" w:hAnsi="Arial"/>
          <w:sz w:val="22"/>
          <w:szCs w:val="22"/>
        </w:rPr>
        <w:t xml:space="preserve">IT Environment: SAP ERP, billing systems, HR systems, email (Microsoft Exchange/365), corporate LAN across divisional offices, centralised data centre.</w:t>
      </w:r>
    </w:p>
    <w:p>
      <w:pPr>
        <w:pStyle w:val="ListParagraph"/>
        <w:numPr>
          <w:ilvl w:val="0"/>
          <w:numId w:val="2"/>
        </w:numPr>
        <w:spacing w:after="40" w:before="40"/>
      </w:pPr>
      <w:r>
        <w:rPr>
          <w:rFonts w:ascii="Arial" w:cs="Arial" w:eastAsia="Arial" w:hAnsi="Arial"/>
          <w:sz w:val="22"/>
          <w:szCs w:val="22"/>
        </w:rPr>
        <w:t xml:space="preserve">OT/SCADA Environment: Energy Management System (EMS), Supervisory Control and Data Acquisition (SCADA), Distribution Management System (DMS), PLCs and RTUs at generating stations and substations, historian servers, and engineering workstations.</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3. Assessment Scope and Methodology</w:t>
      </w:r>
    </w:p>
    <w:p>
      <w:pPr>
        <w:pStyle w:val="Heading2"/>
        <w:spacing w:after="120" w:before="240"/>
      </w:pPr>
      <w:r>
        <w:rPr>
          <w:rFonts w:ascii="Arial" w:cs="Arial" w:eastAsia="Arial" w:hAnsi="Arial"/>
          <w:b/>
          <w:bCs/>
          <w:color w:val="1B3A6B"/>
          <w:sz w:val="26"/>
          <w:szCs w:val="26"/>
        </w:rPr>
        <w:t xml:space="preserve">3.1 Scope</w:t>
      </w:r>
    </w:p>
    <w:p>
      <w:pPr>
        <w:spacing w:after="60" w:before="60"/>
      </w:pPr>
      <w:r>
        <w:rPr>
          <w:rFonts w:ascii="Arial" w:cs="Arial" w:eastAsia="Arial" w:hAnsi="Arial"/>
          <w:color w:val="000000"/>
          <w:sz w:val="22"/>
          <w:szCs w:val="22"/>
        </w:rPr>
        <w:t xml:space="preserve">This assessment covers the following domains:</w:t>
      </w:r>
    </w:p>
    <w:p>
      <w:pPr>
        <w:pStyle w:val="ListParagraph"/>
        <w:numPr>
          <w:ilvl w:val="0"/>
          <w:numId w:val="2"/>
        </w:numPr>
        <w:spacing w:after="40" w:before="40"/>
      </w:pPr>
      <w:r>
        <w:rPr>
          <w:rFonts w:ascii="Arial" w:cs="Arial" w:eastAsia="Arial" w:hAnsi="Arial"/>
          <w:sz w:val="22"/>
          <w:szCs w:val="22"/>
        </w:rPr>
        <w:t xml:space="preserve">IT Infrastructure &amp; Data Centres: Servers, endpoints, network devices, identity &amp; access management systems, backup infrastructure, third-party integrations, customer-facing billing portals.</w:t>
      </w:r>
    </w:p>
    <w:p>
      <w:pPr>
        <w:pStyle w:val="ListParagraph"/>
        <w:numPr>
          <w:ilvl w:val="0"/>
          <w:numId w:val="2"/>
        </w:numPr>
        <w:spacing w:after="40" w:before="40"/>
      </w:pPr>
      <w:r>
        <w:rPr>
          <w:rFonts w:ascii="Arial" w:cs="Arial" w:eastAsia="Arial" w:hAnsi="Arial"/>
          <w:sz w:val="22"/>
          <w:szCs w:val="22"/>
        </w:rPr>
        <w:t xml:space="preserve">OT/SCADA &amp; Grid Control Systems: Energy Management System, SCADA master stations, Distribution Management System, PLCs/RTUs at substations and generation plants, historian servers, operator workstations, and associated communication networks.</w:t>
      </w:r>
    </w:p>
    <w:p>
      <w:pPr>
        <w:spacing w:after="0" w:before="0"/>
      </w:pPr>
      <w:r>
        <w:t xml:space="preserve"/>
      </w:r>
    </w:p>
    <w:p>
      <w:pPr>
        <w:spacing w:after="60" w:before="60"/>
      </w:pPr>
      <w:r>
        <w:rPr>
          <w:rFonts w:ascii="Arial" w:cs="Arial" w:eastAsia="Arial" w:hAnsi="Arial"/>
          <w:color w:val="000000"/>
          <w:sz w:val="22"/>
          <w:szCs w:val="22"/>
        </w:rPr>
        <w:t xml:space="preserve">Out of scope: Physical transmission infrastructure, consumer smart meters (addressed separately under AMI programme), and TANTRANSCO assets.</w:t>
      </w:r>
    </w:p>
    <w:p>
      <w:pPr>
        <w:pStyle w:val="Heading2"/>
        <w:spacing w:after="120" w:before="240"/>
      </w:pPr>
      <w:r>
        <w:rPr>
          <w:rFonts w:ascii="Arial" w:cs="Arial" w:eastAsia="Arial" w:hAnsi="Arial"/>
          <w:b/>
          <w:bCs/>
          <w:color w:val="1B3A6B"/>
          <w:sz w:val="26"/>
          <w:szCs w:val="26"/>
        </w:rPr>
        <w:t xml:space="preserve">3.2 Framework: ISO/IEC 27001:2022</w:t>
      </w:r>
    </w:p>
    <w:p>
      <w:pPr>
        <w:spacing w:after="60" w:before="60"/>
      </w:pPr>
      <w:r>
        <w:rPr>
          <w:rFonts w:ascii="Arial" w:cs="Arial" w:eastAsia="Arial" w:hAnsi="Arial"/>
          <w:color w:val="000000"/>
          <w:sz w:val="22"/>
          <w:szCs w:val="22"/>
        </w:rPr>
        <w:t xml:space="preserve">The assessment is structured around ISO/IEC 27001:2022, the international standard for Information Security Management Systems. Annex A of the standard provides 93 controls across four themes:</w:t>
      </w:r>
    </w:p>
    <w:p>
      <w:pPr>
        <w:pStyle w:val="ListParagraph"/>
        <w:numPr>
          <w:ilvl w:val="0"/>
          <w:numId w:val="2"/>
        </w:numPr>
        <w:spacing w:after="40" w:before="40"/>
      </w:pPr>
      <w:r>
        <w:rPr>
          <w:rFonts w:ascii="Arial" w:cs="Arial" w:eastAsia="Arial" w:hAnsi="Arial"/>
          <w:sz w:val="22"/>
          <w:szCs w:val="22"/>
        </w:rPr>
        <w:t xml:space="preserve">A.5 Organisational Controls (37 controls)</w:t>
      </w:r>
    </w:p>
    <w:p>
      <w:pPr>
        <w:pStyle w:val="ListParagraph"/>
        <w:numPr>
          <w:ilvl w:val="0"/>
          <w:numId w:val="2"/>
        </w:numPr>
        <w:spacing w:after="40" w:before="40"/>
      </w:pPr>
      <w:r>
        <w:rPr>
          <w:rFonts w:ascii="Arial" w:cs="Arial" w:eastAsia="Arial" w:hAnsi="Arial"/>
          <w:sz w:val="22"/>
          <w:szCs w:val="22"/>
        </w:rPr>
        <w:t xml:space="preserve">A.6 People Controls (8 controls)</w:t>
      </w:r>
    </w:p>
    <w:p>
      <w:pPr>
        <w:pStyle w:val="ListParagraph"/>
        <w:numPr>
          <w:ilvl w:val="0"/>
          <w:numId w:val="2"/>
        </w:numPr>
        <w:spacing w:after="40" w:before="40"/>
      </w:pPr>
      <w:r>
        <w:rPr>
          <w:rFonts w:ascii="Arial" w:cs="Arial" w:eastAsia="Arial" w:hAnsi="Arial"/>
          <w:sz w:val="22"/>
          <w:szCs w:val="22"/>
        </w:rPr>
        <w:t xml:space="preserve">A.7 Physical Controls (14 controls)</w:t>
      </w:r>
    </w:p>
    <w:p>
      <w:pPr>
        <w:pStyle w:val="ListParagraph"/>
        <w:numPr>
          <w:ilvl w:val="0"/>
          <w:numId w:val="2"/>
        </w:numPr>
        <w:spacing w:after="40" w:before="40"/>
      </w:pPr>
      <w:r>
        <w:rPr>
          <w:rFonts w:ascii="Arial" w:cs="Arial" w:eastAsia="Arial" w:hAnsi="Arial"/>
          <w:sz w:val="22"/>
          <w:szCs w:val="22"/>
        </w:rPr>
        <w:t xml:space="preserve">A.8 Technological Controls (34 controls)</w:t>
      </w:r>
    </w:p>
    <w:p>
      <w:pPr>
        <w:spacing w:after="0" w:before="0"/>
      </w:pPr>
      <w:r>
        <w:t xml:space="preserve"/>
      </w:r>
    </w:p>
    <w:p>
      <w:pPr>
        <w:spacing w:after="60" w:before="60"/>
      </w:pPr>
      <w:r>
        <w:rPr>
          <w:rFonts w:ascii="Arial" w:cs="Arial" w:eastAsia="Arial" w:hAnsi="Arial"/>
          <w:color w:val="000000"/>
          <w:sz w:val="22"/>
          <w:szCs w:val="22"/>
        </w:rPr>
        <w:t xml:space="preserve">Additionally, IEC 62443 (Industrial Automation &amp; Control System Security) principles have been referenced for the OT/SCADA domain to ensure sector-specific coverage.</w:t>
      </w:r>
    </w:p>
    <w:p>
      <w:pPr>
        <w:pStyle w:val="Heading2"/>
        <w:spacing w:after="120" w:before="240"/>
      </w:pPr>
      <w:r>
        <w:rPr>
          <w:rFonts w:ascii="Arial" w:cs="Arial" w:eastAsia="Arial" w:hAnsi="Arial"/>
          <w:b/>
          <w:bCs/>
          <w:color w:val="1B3A6B"/>
          <w:sz w:val="26"/>
          <w:szCs w:val="26"/>
        </w:rPr>
        <w:t xml:space="preserve">3.3 Risk Scoring Methodology</w:t>
      </w:r>
    </w:p>
    <w:p>
      <w:pPr>
        <w:spacing w:after="60" w:before="60"/>
      </w:pPr>
      <w:r>
        <w:rPr>
          <w:rFonts w:ascii="Arial" w:cs="Arial" w:eastAsia="Arial" w:hAnsi="Arial"/>
          <w:color w:val="000000"/>
          <w:sz w:val="22"/>
          <w:szCs w:val="22"/>
        </w:rPr>
        <w:t xml:space="preserve">Risks are scored using a semi-quantitative Likelihood × Impact matrix. Both Likelihood and Impact are rated on a 1–5 ordinal scale, producing a Risk Score from 1 to 25.</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tblGrid>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Scale</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Likelihood</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Impact</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Risk Score</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Rating</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Rare (&lt;5% probability in 12 months)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Negligible (operations unaffected)</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Low</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Unlikely (5–25%)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Minor (limited impact, quickly resolved)</w:t>
            </w:r>
          </w:p>
        </w:tc>
        <w:tc>
          <w:tcPr>
            <w:tcW w:type="dxa" w:w="144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6–9</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Possible (25–50%)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Moderate (significant disruption, hours–days)</w:t>
            </w:r>
          </w:p>
        </w:tc>
        <w:tc>
          <w:tcPr>
            <w:tcW w:type="dxa" w:w="144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10–12</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Likely (50–75%)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Major (extended outage, regulatory breach)</w:t>
            </w:r>
          </w:p>
        </w:tc>
        <w:tc>
          <w:tcPr>
            <w:tcW w:type="dxa" w:w="144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13–19</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Almost Certain (&gt;75%)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Catastrophic (grid failure, mass data breach)</w:t>
            </w:r>
          </w:p>
        </w:tc>
        <w:tc>
          <w:tcPr>
            <w:tcW w:type="dxa" w:w="14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20–25</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3.4 Risk Heat Map</w:t>
      </w:r>
    </w:p>
    <w:p>
      <w:pPr>
        <w:spacing w:after="60" w:before="60"/>
      </w:pPr>
      <w:r>
        <w:rPr>
          <w:rFonts w:ascii="Arial" w:cs="Arial" w:eastAsia="Arial" w:hAnsi="Arial"/>
          <w:color w:val="000000"/>
          <w:sz w:val="22"/>
          <w:szCs w:val="22"/>
        </w:rPr>
        <w:t xml:space="preserve">The following 5×5 matrix illustrates risk exposure. Each cell shows the composite score; colour indicates rating.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680"/>
        <w:gridCol w:w="1680"/>
        <w:gridCol w:w="1680"/>
        <w:gridCol w:w="1680"/>
        <w:gridCol w:w="1680"/>
      </w:tblGrid>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1</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2</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3</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4</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5</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5</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5</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10</w:t>
            </w:r>
          </w:p>
        </w:tc>
        <w:tc>
          <w:tcPr>
            <w:tcW w:type="dxa" w:w="1680"/>
            <w:tcBorders>
              <w:top w:val="single" w:color="FFFFFF" w:sz="1"/>
              <w:left w:val="single" w:color="FFFFFF" w:sz="1"/>
              <w:bottom w:val="single" w:color="FFFFFF" w:sz="1"/>
              <w:right w:val="single" w:color="FFFFFF" w:sz="1"/>
            </w:tcBorders>
            <w:shd w:fill="E67E22"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15</w:t>
            </w:r>
          </w:p>
        </w:tc>
        <w:tc>
          <w:tcPr>
            <w:tcW w:type="dxa" w:w="1680"/>
            <w:tcBorders>
              <w:top w:val="single" w:color="FFFFFF" w:sz="1"/>
              <w:left w:val="single" w:color="FFFFFF" w:sz="1"/>
              <w:bottom w:val="single" w:color="FFFFFF" w:sz="1"/>
              <w:right w:val="single" w:color="FFFFFF" w:sz="1"/>
            </w:tcBorders>
            <w:shd w:fill="C0392B"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20</w:t>
            </w:r>
          </w:p>
        </w:tc>
        <w:tc>
          <w:tcPr>
            <w:tcW w:type="dxa" w:w="1680"/>
            <w:tcBorders>
              <w:top w:val="single" w:color="FFFFFF" w:sz="1"/>
              <w:left w:val="single" w:color="FFFFFF" w:sz="1"/>
              <w:bottom w:val="single" w:color="FFFFFF" w:sz="1"/>
              <w:right w:val="single" w:color="FFFFFF" w:sz="1"/>
            </w:tcBorders>
            <w:shd w:fill="C0392B"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25</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4</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4</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8</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12</w:t>
            </w:r>
          </w:p>
        </w:tc>
        <w:tc>
          <w:tcPr>
            <w:tcW w:type="dxa" w:w="1680"/>
            <w:tcBorders>
              <w:top w:val="single" w:color="FFFFFF" w:sz="1"/>
              <w:left w:val="single" w:color="FFFFFF" w:sz="1"/>
              <w:bottom w:val="single" w:color="FFFFFF" w:sz="1"/>
              <w:right w:val="single" w:color="FFFFFF" w:sz="1"/>
            </w:tcBorders>
            <w:shd w:fill="E67E22"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16</w:t>
            </w:r>
          </w:p>
        </w:tc>
        <w:tc>
          <w:tcPr>
            <w:tcW w:type="dxa" w:w="1680"/>
            <w:tcBorders>
              <w:top w:val="single" w:color="FFFFFF" w:sz="1"/>
              <w:left w:val="single" w:color="FFFFFF" w:sz="1"/>
              <w:bottom w:val="single" w:color="FFFFFF" w:sz="1"/>
              <w:right w:val="single" w:color="FFFFFF" w:sz="1"/>
            </w:tcBorders>
            <w:shd w:fill="C0392B"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20</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3</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3</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6</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9</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12</w:t>
            </w:r>
          </w:p>
        </w:tc>
        <w:tc>
          <w:tcPr>
            <w:tcW w:type="dxa" w:w="1680"/>
            <w:tcBorders>
              <w:top w:val="single" w:color="FFFFFF" w:sz="1"/>
              <w:left w:val="single" w:color="FFFFFF" w:sz="1"/>
              <w:bottom w:val="single" w:color="FFFFFF" w:sz="1"/>
              <w:right w:val="single" w:color="FFFFFF" w:sz="1"/>
            </w:tcBorders>
            <w:shd w:fill="E67E22"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15</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2</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4</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6</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8</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10</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1</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1</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3</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4</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5</w:t>
            </w:r>
          </w:p>
        </w:tc>
      </w:tr>
    </w:tbl>
    <w:p>
      <w:pPr>
        <w:spacing w:after="0" w:before="0"/>
      </w:pPr>
      <w:r>
        <w:t xml:space="preserve"/>
      </w:r>
    </w:p>
    <w:p>
      <w:pPr>
        <w:spacing w:after="80" w:before="80"/>
      </w:pPr>
      <w:r>
        <w:rPr>
          <w:rFonts w:ascii="Arial" w:cs="Arial" w:eastAsia="Arial" w:hAnsi="Arial"/>
          <w:b/>
          <w:bCs/>
          <w:sz w:val="20"/>
          <w:szCs w:val="20"/>
        </w:rPr>
        <w:t xml:space="preserve">Legend:  </w:t>
      </w:r>
      <w:r>
        <w:rPr>
          <w:rFonts w:ascii="Arial" w:cs="Arial" w:eastAsia="Arial" w:hAnsi="Arial"/>
          <w:b/>
          <w:bCs/>
          <w:color w:val="C0392B"/>
          <w:sz w:val="20"/>
          <w:szCs w:val="20"/>
        </w:rPr>
        <w:t xml:space="preserve">  Critical (20–25)  </w:t>
      </w:r>
      <w:r>
        <w:rPr>
          <w:rFonts w:ascii="Arial" w:cs="Arial" w:eastAsia="Arial" w:hAnsi="Arial"/>
          <w:b/>
          <w:bCs/>
          <w:color w:val="E67E22"/>
          <w:sz w:val="20"/>
          <w:szCs w:val="20"/>
        </w:rPr>
        <w:t xml:space="preserve">    High (13–19)  </w:t>
      </w:r>
      <w:r>
        <w:rPr>
          <w:rFonts w:ascii="Arial" w:cs="Arial" w:eastAsia="Arial" w:hAnsi="Arial"/>
          <w:b/>
          <w:bCs/>
          <w:color w:val="7D6608"/>
          <w:sz w:val="20"/>
          <w:szCs w:val="20"/>
        </w:rPr>
        <w:t xml:space="preserve">    Medium (6–12)  </w:t>
      </w:r>
      <w:r>
        <w:rPr>
          <w:rFonts w:ascii="Arial" w:cs="Arial" w:eastAsia="Arial" w:hAnsi="Arial"/>
          <w:b/>
          <w:bCs/>
          <w:color w:val="1D8348"/>
          <w:sz w:val="20"/>
          <w:szCs w:val="20"/>
        </w:rPr>
        <w:t xml:space="preserve">    Low (1–5)  </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4. Threat Landscape</w:t>
      </w:r>
    </w:p>
    <w:p>
      <w:pPr>
        <w:pStyle w:val="Heading2"/>
        <w:spacing w:after="120" w:before="240"/>
      </w:pPr>
      <w:r>
        <w:rPr>
          <w:rFonts w:ascii="Arial" w:cs="Arial" w:eastAsia="Arial" w:hAnsi="Arial"/>
          <w:b/>
          <w:bCs/>
          <w:color w:val="1B3A6B"/>
          <w:sz w:val="26"/>
          <w:szCs w:val="26"/>
        </w:rPr>
        <w:t xml:space="preserve">4.1 Global Power Sector Threat Environment</w:t>
      </w:r>
    </w:p>
    <w:p>
      <w:pPr>
        <w:spacing w:after="60" w:before="60"/>
      </w:pPr>
      <w:r>
        <w:rPr>
          <w:rFonts w:ascii="Arial" w:cs="Arial" w:eastAsia="Arial" w:hAnsi="Arial"/>
          <w:color w:val="000000"/>
          <w:sz w:val="22"/>
          <w:szCs w:val="22"/>
        </w:rPr>
        <w:t xml:space="preserve">The electricity generation and distribution sector has emerged as a prime target for both nation-state threat actors and financially motivated cybercriminals. Notable incidents that inform TANGEDCO's threat profile include:</w:t>
      </w:r>
    </w:p>
    <w:p>
      <w:pPr>
        <w:pStyle w:val="ListParagraph"/>
        <w:numPr>
          <w:ilvl w:val="0"/>
          <w:numId w:val="2"/>
        </w:numPr>
        <w:spacing w:after="40" w:before="40"/>
      </w:pPr>
      <w:r>
        <w:rPr>
          <w:rFonts w:ascii="Arial" w:cs="Arial" w:eastAsia="Arial" w:hAnsi="Arial"/>
          <w:sz w:val="22"/>
          <w:szCs w:val="22"/>
        </w:rPr>
        <w:t xml:space="preserve">Ukraine Power Grid Attacks (2015, 2016): Nation-state malware (BlackEnergy, Industroyer) caused widespread outages by targeting SCADA systems — directly relevant to TANGEDCO's EMS architecture.</w:t>
      </w:r>
    </w:p>
    <w:p>
      <w:pPr>
        <w:pStyle w:val="ListParagraph"/>
        <w:numPr>
          <w:ilvl w:val="0"/>
          <w:numId w:val="2"/>
        </w:numPr>
        <w:spacing w:after="40" w:before="40"/>
      </w:pPr>
      <w:r>
        <w:rPr>
          <w:rFonts w:ascii="Arial" w:cs="Arial" w:eastAsia="Arial" w:hAnsi="Arial"/>
          <w:sz w:val="22"/>
          <w:szCs w:val="22"/>
        </w:rPr>
        <w:t xml:space="preserve">Colonial Pipeline Ransomware (2021): Ransomware on IT systems caused precautionary shutdown of OT operations, demonstrating IT–OT interdependency risk.</w:t>
      </w:r>
    </w:p>
    <w:p>
      <w:pPr>
        <w:pStyle w:val="ListParagraph"/>
        <w:numPr>
          <w:ilvl w:val="0"/>
          <w:numId w:val="2"/>
        </w:numPr>
        <w:spacing w:after="40" w:before="40"/>
      </w:pPr>
      <w:r>
        <w:rPr>
          <w:rFonts w:ascii="Arial" w:cs="Arial" w:eastAsia="Arial" w:hAnsi="Arial"/>
          <w:sz w:val="22"/>
          <w:szCs w:val="22"/>
        </w:rPr>
        <w:t xml:space="preserve">Oldsmar Water Treatment Hack (2021): Adversary gained remote access via unprotected remote access software and attempted to alter chemical levels — highlights remote access risk to ICS.</w:t>
      </w:r>
    </w:p>
    <w:p>
      <w:pPr>
        <w:pStyle w:val="ListParagraph"/>
        <w:numPr>
          <w:ilvl w:val="0"/>
          <w:numId w:val="2"/>
        </w:numPr>
        <w:spacing w:after="40" w:before="40"/>
      </w:pPr>
      <w:r>
        <w:rPr>
          <w:rFonts w:ascii="Arial" w:cs="Arial" w:eastAsia="Arial" w:hAnsi="Arial"/>
          <w:sz w:val="22"/>
          <w:szCs w:val="22"/>
        </w:rPr>
        <w:t xml:space="preserve">India Power Sector Intrusions (2021–2022): Recorded Future and government sources identified Chinese APT intrusion attempts against Indian power utilities, including load dispatch centres.</w:t>
      </w:r>
    </w:p>
    <w:p>
      <w:pPr>
        <w:pStyle w:val="Heading2"/>
        <w:spacing w:after="120" w:before="240"/>
      </w:pPr>
      <w:r>
        <w:rPr>
          <w:rFonts w:ascii="Arial" w:cs="Arial" w:eastAsia="Arial" w:hAnsi="Arial"/>
          <w:b/>
          <w:bCs/>
          <w:color w:val="1B3A6B"/>
          <w:sz w:val="26"/>
          <w:szCs w:val="26"/>
        </w:rPr>
        <w:t xml:space="preserve">4.2 Threat Actor Categories Relevant to TANGEDCO</w:t>
      </w:r>
    </w:p>
    <w:p>
      <w:pPr>
        <w:pStyle w:val="ListParagraph"/>
        <w:numPr>
          <w:ilvl w:val="0"/>
          <w:numId w:val="2"/>
        </w:numPr>
        <w:spacing w:after="40" w:before="40"/>
      </w:pPr>
      <w:r>
        <w:rPr>
          <w:rFonts w:ascii="Arial" w:cs="Arial" w:eastAsia="Arial" w:hAnsi="Arial"/>
          <w:sz w:val="22"/>
          <w:szCs w:val="22"/>
        </w:rPr>
        <w:t xml:space="preserve">Nation-State APTs (e.g., Volt Typhoon, Lazarus Group): Targeting critical infrastructure for espionage or pre-positioning for disruption. High capability, patient, difficult to detect.</w:t>
      </w:r>
    </w:p>
    <w:p>
      <w:pPr>
        <w:pStyle w:val="ListParagraph"/>
        <w:numPr>
          <w:ilvl w:val="0"/>
          <w:numId w:val="2"/>
        </w:numPr>
        <w:spacing w:after="40" w:before="40"/>
      </w:pPr>
      <w:r>
        <w:rPr>
          <w:rFonts w:ascii="Arial" w:cs="Arial" w:eastAsia="Arial" w:hAnsi="Arial"/>
          <w:sz w:val="22"/>
          <w:szCs w:val="22"/>
        </w:rPr>
        <w:t xml:space="preserve">Ransomware Groups (e.g., LockBit, BlackCat/ALPHV): Financially motivated; increasing targeting of utilities where downtime pressure maximises ransom payment probability.</w:t>
      </w:r>
    </w:p>
    <w:p>
      <w:pPr>
        <w:pStyle w:val="ListParagraph"/>
        <w:numPr>
          <w:ilvl w:val="0"/>
          <w:numId w:val="2"/>
        </w:numPr>
        <w:spacing w:after="40" w:before="40"/>
      </w:pPr>
      <w:r>
        <w:rPr>
          <w:rFonts w:ascii="Arial" w:cs="Arial" w:eastAsia="Arial" w:hAnsi="Arial"/>
          <w:sz w:val="22"/>
          <w:szCs w:val="22"/>
        </w:rPr>
        <w:t xml:space="preserve">Hacktivist Groups: Motivated by political or social causes; may target TANGEDCO during civil unrest or political events in Tamil Nadu.</w:t>
      </w:r>
    </w:p>
    <w:p>
      <w:pPr>
        <w:pStyle w:val="ListParagraph"/>
        <w:numPr>
          <w:ilvl w:val="0"/>
          <w:numId w:val="2"/>
        </w:numPr>
        <w:spacing w:after="40" w:before="40"/>
      </w:pPr>
      <w:r>
        <w:rPr>
          <w:rFonts w:ascii="Arial" w:cs="Arial" w:eastAsia="Arial" w:hAnsi="Arial"/>
          <w:sz w:val="22"/>
          <w:szCs w:val="22"/>
        </w:rPr>
        <w:t xml:space="preserve">Insider Threats: Disgruntled employees or contractors with privileged access to billing systems or SCADA environments.</w:t>
      </w:r>
    </w:p>
    <w:p>
      <w:pPr>
        <w:pStyle w:val="ListParagraph"/>
        <w:numPr>
          <w:ilvl w:val="0"/>
          <w:numId w:val="2"/>
        </w:numPr>
        <w:spacing w:after="40" w:before="40"/>
      </w:pPr>
      <w:r>
        <w:rPr>
          <w:rFonts w:ascii="Arial" w:cs="Arial" w:eastAsia="Arial" w:hAnsi="Arial"/>
          <w:sz w:val="22"/>
          <w:szCs w:val="22"/>
        </w:rPr>
        <w:t xml:space="preserve">Opportunistic Attackers: Exploit unpatched vulnerabilities or default credentials on internet-exposed assets via automated scanning.</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5. Risk Register</w:t>
      </w:r>
    </w:p>
    <w:p>
      <w:pPr>
        <w:spacing w:after="60" w:before="60"/>
      </w:pPr>
      <w:r>
        <w:rPr>
          <w:rFonts w:ascii="Arial" w:cs="Arial" w:eastAsia="Arial" w:hAnsi="Arial"/>
          <w:color w:val="000000"/>
          <w:sz w:val="22"/>
          <w:szCs w:val="22"/>
        </w:rPr>
        <w:t xml:space="preserve">The following risk register documents all identified risks across both IT and OT/SCADA domains. Risks are scored using the Likelihood × Impact methodology defined in Section 3.3.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100"/>
        <w:gridCol w:w="1100"/>
        <w:gridCol w:w="900"/>
        <w:gridCol w:w="600"/>
        <w:gridCol w:w="600"/>
        <w:gridCol w:w="700"/>
        <w:gridCol w:w="700"/>
        <w:gridCol w:w="11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Risk ID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Domain</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Asset</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Threat</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Vulnerability</w:t>
            </w:r>
          </w:p>
        </w:tc>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 (1–5)</w:t>
            </w:r>
          </w:p>
        </w:tc>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 (1–5)</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Score</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Rating</w:t>
            </w:r>
          </w:p>
        </w:tc>
        <w:tc>
          <w:tcPr>
            <w:tcW w:type="dxa" w:w="1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 27001 Controls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Corporate Servers / File Shares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Ransomware Attack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Unpatched OS, absence of immutable backups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A.8.7, A.8.13, A.8.32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Employee Endpoints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Phishing / Business Email Compromise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Lack of MFA, low security awareness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A.6.3, A.5.17, A.8.5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Active Directory / IAM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Privilege Escalation / Insider Abuse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Excessive privileges, stale accounts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A.5.15, A.5.18, A.8.2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Customer Billing &amp; Payment System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Breach (PII &amp; Financial 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Weak encryption at rest, inadequate DB controls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A.8.24, A.5.34, A.8.11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Network Infrastructure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IT–OT Lateral Movement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Flat network, insufficient segmentation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A.8.20, A.8.22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Third-Party Vendor Access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Supply Chain / Third-Party Compromise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vendor security assessment, unrestricted VPN access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12</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A.5.19, A.5.20, A.5.22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Centre Infrastructure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Physical Intrusion / Hardware Theft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Inadequate physical access logging, no CCTV coverage of server racks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8</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A.7.2, A.7.3, A.7.4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Backup &amp; Recovery Systems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Backup Failure / RTO/RPO Breach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Backups not tested, single-site storage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12</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A.8.13, A.5.29, A.5.30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SCADA / Energy Management System (EMS)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Nation-State / APT Attack (Grid Disruption)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Internet-exposed HMI, default credentials on legacy devices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A.8.20, A.8.5, A.7.1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PLCs &amp; RTUs (Substations)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Malware / Firmware Tampering (Industroyer-class)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Unpatched firmware, no integrity checking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A.8.8, A.8.9, A.8.32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Remote Access (Engineering Workstations)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Unauthorized Remote Access to 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Weak VPN authentication, no session recording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A.8.5, A.8.15, A.5.17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Historian / Data Acquisition Systems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Exfiltration of Operational 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DLP, historian exposed on corporate LAN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9</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A.8.12, A.8.24, A.8.20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ICS Communication Protocols (Modbus, DNP3)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Protocol Replay / Man-in-the-Middle Attack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Unencrypted legacy protocols, no authentication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10</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A.8.24, A.8.20, A.8.22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Control Room / Operator Workstations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Insider Threat / Operator Error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Shared accounts, no session audit trail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12</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A.6.3, A.8.5, A.8.15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Physical Grid Assets (Transformers, Switchgear)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Physical Sabotage / Tampering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Inadequate perimeter security at remote substations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10</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A.7.1, A.7.2, A.7.4, A.7.11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ICS Vendor / OEM Remote Support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Vendor-Initiated Compromise (Supply Chain)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Persistent vendor VPN with no oversight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A.5.19, A.5.22, A.8.5</w:t>
            </w:r>
          </w:p>
        </w:tc>
      </w:tr>
    </w:tbl>
    <w:p>
      <w:pPr>
        <w:spacing w:after="0" w:before="0"/>
      </w:pPr>
      <w:r>
        <w:t xml:space="preserve"/>
      </w:r>
    </w:p>
    <w:p>
      <w:pPr>
        <w:spacing w:after="60" w:before="60"/>
      </w:pPr>
      <w:r>
        <w:rPr>
          <w:rFonts w:ascii="Arial" w:cs="Arial" w:eastAsia="Arial" w:hAnsi="Arial"/>
          <w:i/>
          <w:iCs/>
          <w:color w:val="555555"/>
          <w:sz w:val="22"/>
          <w:szCs w:val="22"/>
        </w:rPr>
        <w:t xml:space="preserve">L = Likelihood (1–5) | I = Impact (1–5) | Score = L × I</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6. Domain-Specific Findings</w:t>
      </w:r>
    </w:p>
    <w:p>
      <w:pPr>
        <w:pStyle w:val="Heading2"/>
        <w:spacing w:after="120" w:before="240"/>
      </w:pPr>
      <w:r>
        <w:rPr>
          <w:rFonts w:ascii="Arial" w:cs="Arial" w:eastAsia="Arial" w:hAnsi="Arial"/>
          <w:b/>
          <w:bCs/>
          <w:color w:val="1B3A6B"/>
          <w:sz w:val="26"/>
          <w:szCs w:val="26"/>
        </w:rPr>
        <w:t xml:space="preserve">6.1 IT Infrastructure &amp; Data Centres</w:t>
      </w:r>
    </w:p>
    <w:p>
      <w:pPr>
        <w:pStyle w:val="Heading3"/>
        <w:spacing w:after="80" w:before="160"/>
      </w:pPr>
      <w:r>
        <w:rPr>
          <w:rFonts w:ascii="Arial" w:cs="Arial" w:eastAsia="Arial" w:hAnsi="Arial"/>
          <w:b/>
          <w:bCs/>
          <w:color w:val="555555"/>
          <w:sz w:val="22"/>
          <w:szCs w:val="22"/>
        </w:rPr>
        <w:t xml:space="preserve">6.1.1 Network Segmentation (IT-05) — Critical Risk</w:t>
      </w:r>
    </w:p>
    <w:p>
      <w:pPr>
        <w:spacing w:after="60" w:before="60"/>
      </w:pPr>
      <w:r>
        <w:rPr>
          <w:rFonts w:ascii="Arial" w:cs="Arial" w:eastAsia="Arial" w:hAnsi="Arial"/>
          <w:color w:val="000000"/>
          <w:sz w:val="22"/>
          <w:szCs w:val="22"/>
        </w:rPr>
        <w:t xml:space="preserve">TANGEDCO's corporate LAN and SCADA/OT networks share insufficient logical separation. This flat network architecture means that a successful ransomware infection on a corporate workstation could traverse to SCADA historian servers or engineering workstations. The CEA Cyber Security Guidelines (2021) mandate strict segmentation between IT and OT networks, which is currently non-compliant.</w:t>
      </w:r>
    </w:p>
    <w:p>
      <w:pPr>
        <w:pStyle w:val="Heading3"/>
        <w:spacing w:after="80" w:before="160"/>
      </w:pPr>
      <w:r>
        <w:rPr>
          <w:rFonts w:ascii="Arial" w:cs="Arial" w:eastAsia="Arial" w:hAnsi="Arial"/>
          <w:b/>
          <w:bCs/>
          <w:color w:val="555555"/>
          <w:sz w:val="22"/>
          <w:szCs w:val="22"/>
        </w:rPr>
        <w:t xml:space="preserve">6.1.2 Identity &amp; Access Management (IT-02, IT-03) — Critical / High</w:t>
      </w:r>
    </w:p>
    <w:p>
      <w:pPr>
        <w:spacing w:after="60" w:before="60"/>
      </w:pPr>
      <w:r>
        <w:rPr>
          <w:rFonts w:ascii="Arial" w:cs="Arial" w:eastAsia="Arial" w:hAnsi="Arial"/>
          <w:color w:val="000000"/>
          <w:sz w:val="22"/>
          <w:szCs w:val="22"/>
        </w:rPr>
        <w:t xml:space="preserve">Multi-factor authentication (MFA) is not enforced for remote access or privileged accounts. Legacy Active Directory configurations include dormant accounts and over-provisioned service accounts. Phishing simulations conducted during the assessment period revealed a click-through rate exceeding 30%, indicating elevated social engineering susceptibility.</w:t>
      </w:r>
    </w:p>
    <w:p>
      <w:pPr>
        <w:pStyle w:val="Heading3"/>
        <w:spacing w:after="80" w:before="160"/>
      </w:pPr>
      <w:r>
        <w:rPr>
          <w:rFonts w:ascii="Arial" w:cs="Arial" w:eastAsia="Arial" w:hAnsi="Arial"/>
          <w:b/>
          <w:bCs/>
          <w:color w:val="555555"/>
          <w:sz w:val="22"/>
          <w:szCs w:val="22"/>
        </w:rPr>
        <w:t xml:space="preserve">6.1.3 Patch Management (IT-01) — High</w:t>
      </w:r>
    </w:p>
    <w:p>
      <w:pPr>
        <w:spacing w:after="60" w:before="60"/>
      </w:pPr>
      <w:r>
        <w:rPr>
          <w:rFonts w:ascii="Arial" w:cs="Arial" w:eastAsia="Arial" w:hAnsi="Arial"/>
          <w:color w:val="000000"/>
          <w:sz w:val="22"/>
          <w:szCs w:val="22"/>
        </w:rPr>
        <w:t xml:space="preserve">Server patching cadence averages 60–90 days, significantly exceeding the recommended 30-day SLA for critical vulnerabilities. Several Windows Server 2012 R2 instances remain in production despite end-of-life status, with no extended security update coverage.</w:t>
      </w:r>
    </w:p>
    <w:p>
      <w:pPr>
        <w:spacing w:after="0" w:before="0"/>
      </w:pPr>
      <w:r>
        <w:t xml:space="preserve"/>
      </w:r>
    </w:p>
    <w:p>
      <w:pPr>
        <w:pStyle w:val="Heading2"/>
        <w:spacing w:after="120" w:before="240"/>
      </w:pPr>
      <w:r>
        <w:rPr>
          <w:rFonts w:ascii="Arial" w:cs="Arial" w:eastAsia="Arial" w:hAnsi="Arial"/>
          <w:b/>
          <w:bCs/>
          <w:color w:val="1B3A6B"/>
          <w:sz w:val="26"/>
          <w:szCs w:val="26"/>
        </w:rPr>
        <w:t xml:space="preserve">6.2 OT/SCADA &amp; Grid Control Systems</w:t>
      </w:r>
    </w:p>
    <w:p>
      <w:pPr>
        <w:pStyle w:val="Heading3"/>
        <w:spacing w:after="80" w:before="160"/>
      </w:pPr>
      <w:r>
        <w:rPr>
          <w:rFonts w:ascii="Arial" w:cs="Arial" w:eastAsia="Arial" w:hAnsi="Arial"/>
          <w:b/>
          <w:bCs/>
          <w:color w:val="555555"/>
          <w:sz w:val="22"/>
          <w:szCs w:val="22"/>
        </w:rPr>
        <w:t xml:space="preserve">6.2.1 Remote Access to SCADA (OT-03) — Critical Risk</w:t>
      </w:r>
    </w:p>
    <w:p>
      <w:pPr>
        <w:spacing w:after="60" w:before="60"/>
      </w:pPr>
      <w:r>
        <w:rPr>
          <w:rFonts w:ascii="Arial" w:cs="Arial" w:eastAsia="Arial" w:hAnsi="Arial"/>
          <w:color w:val="000000"/>
          <w:sz w:val="22"/>
          <w:szCs w:val="22"/>
        </w:rPr>
        <w:t xml:space="preserve">Engineering workstations and vendor support connections to the SCADA network use VPN-only access without MFA or session recording. This presents a critical risk: a compromised vendor credential would grant direct, unmonitored access to the Energy Management System. IEC 62443-2-4 and the CEA guidelines both require MFA and privileged session management for ICS remote access.</w:t>
      </w:r>
    </w:p>
    <w:p>
      <w:pPr>
        <w:pStyle w:val="Heading3"/>
        <w:spacing w:after="80" w:before="160"/>
      </w:pPr>
      <w:r>
        <w:rPr>
          <w:rFonts w:ascii="Arial" w:cs="Arial" w:eastAsia="Arial" w:hAnsi="Arial"/>
          <w:b/>
          <w:bCs/>
          <w:color w:val="555555"/>
          <w:sz w:val="22"/>
          <w:szCs w:val="22"/>
        </w:rPr>
        <w:t xml:space="preserve">6.2.2 Legacy OT Device Security (OT-02) — Critical Risk</w:t>
      </w:r>
    </w:p>
    <w:p>
      <w:pPr>
        <w:spacing w:after="60" w:before="60"/>
      </w:pPr>
      <w:r>
        <w:rPr>
          <w:rFonts w:ascii="Arial" w:cs="Arial" w:eastAsia="Arial" w:hAnsi="Arial"/>
          <w:color w:val="000000"/>
          <w:sz w:val="22"/>
          <w:szCs w:val="22"/>
        </w:rPr>
        <w:t xml:space="preserve">A significant proportion of PLCs and RTUs at substations run vendor-supplied firmware versions that have not been updated in 3+ years, several with known CVEs. OT-safe passive scanning has not been deployed due to concerns about disrupting legacy devices, resulting in a blind spot in the asset vulnerability inventory.</w:t>
      </w:r>
    </w:p>
    <w:p>
      <w:pPr>
        <w:pStyle w:val="Heading3"/>
        <w:spacing w:after="80" w:before="160"/>
      </w:pPr>
      <w:r>
        <w:rPr>
          <w:rFonts w:ascii="Arial" w:cs="Arial" w:eastAsia="Arial" w:hAnsi="Arial"/>
          <w:b/>
          <w:bCs/>
          <w:color w:val="555555"/>
          <w:sz w:val="22"/>
          <w:szCs w:val="22"/>
        </w:rPr>
        <w:t xml:space="preserve">6.2.3 ICS Protocol Weaknesses (OT-05) — Critical Risk</w:t>
      </w:r>
    </w:p>
    <w:p>
      <w:pPr>
        <w:spacing w:after="60" w:before="60"/>
      </w:pPr>
      <w:r>
        <w:rPr>
          <w:rFonts w:ascii="Arial" w:cs="Arial" w:eastAsia="Arial" w:hAnsi="Arial"/>
          <w:color w:val="000000"/>
          <w:sz w:val="22"/>
          <w:szCs w:val="22"/>
        </w:rPr>
        <w:t xml:space="preserve">Communications between SCADA master stations and field devices rely on Modbus TCP and DNP3 without Secure Authentication v5 (DNP3-SA). These protocols transmit commands in plaintext and lack message integrity checking, making them susceptible to replay attacks and command injection by an adversary with network access.</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7. ISO/IEC 27001:2022 Annex A Gap Analysis</w:t>
      </w:r>
    </w:p>
    <w:p>
      <w:pPr>
        <w:spacing w:after="60" w:before="60"/>
      </w:pPr>
      <w:r>
        <w:rPr>
          <w:rFonts w:ascii="Arial" w:cs="Arial" w:eastAsia="Arial" w:hAnsi="Arial"/>
          <w:color w:val="000000"/>
          <w:sz w:val="22"/>
          <w:szCs w:val="22"/>
        </w:rPr>
        <w:t xml:space="preserve">The following table summarises compliance gaps identified against selected ISO/IEC 27001:2022 Annex A controls most material to TANGEDCO's risk profile. Status is assessed as Conformant, Partial, or Non-Conformant.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800"/>
        <w:gridCol w:w="2700"/>
        <w:gridCol w:w="3060"/>
      </w:tblGrid>
      <w:tr>
        <w:trPr>
          <w:tblHeader/>
        </w:trPr>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Theme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Control Reference</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Status</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Gap / Finding</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Recommendation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 Org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A.5.7 Threat Intelligence</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formal threat intel subscription (CERT-In feeds not integrated)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Subscribe to CERT-In and ICS-CERT feeds; integrate into SOC SIEM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 Org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A.5.19–5.22 Supplier Security</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Vendor risk assessments not conducted; supplier contracts lack security clauses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Third-Party Risk Management (TPRM) program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 Org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A.5.29 Business Continuity</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BCP exists but does not cover OT/SCADA disruption scenarios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Extend BCP to cover grid control system failures; test annually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 People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A.6.3 Security Awareness</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structured security awareness training program; OT staff untrained on ICS threats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Annual mandatory security training; ICS-specific training for OT personnel</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 Physical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A.7.1–7.4 Physical Security</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centre has basic controls; remote substations lack CCTV, motion sensors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IP cameras and tamper alarms at all unmanned substations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A.8.5 Privileged Access Mgmt</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PAM solution; shared admin accounts in use across IT and OT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PAM solution (CyberArk or equivalent); eliminate shared accounts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A.8.8 Vulnerability Mgmt</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vulnerability scanning exists; OT/ICS devices not scanned due to fragility concerns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passive OT-safe scanning (Claroty, Dragos); define OT patch SLAs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A.8.16 Monitoring Activities</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SIEM deployed for IT; no OT network monitoring or ICS anomaly detection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OT-specific NDR (Network Detection &amp; Response); feed into unified SOC</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A.8.20–8.22 Network Security</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IT/OT segmentation incomplete; no DMZ between corporate LAN and SCADA network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Purdue Model segmentation; deploy unidirectional security gateways (data diodes)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A.8.24 Cryptography</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Legacy ICS protocols (Modbus, DNP3) lack encryption; customer data encryption policy absent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Develop cryptography policy; prioritise encrypted protocol upgrades for SCADA</w:t>
            </w:r>
          </w:p>
        </w:tc>
      </w:tr>
    </w:tbl>
    <w:p>
      <w:pPr>
        <w:spacing w:after="0" w:before="0"/>
      </w:pPr>
      <w:r>
        <w:t xml:space="preserve"/>
      </w:r>
    </w:p>
    <w:p>
      <w:pPr>
        <w:spacing w:after="60" w:before="60"/>
      </w:pPr>
      <w:r>
        <w:rPr>
          <w:rFonts w:ascii="Arial" w:cs="Arial" w:eastAsia="Arial" w:hAnsi="Arial"/>
          <w:i/>
          <w:iCs/>
          <w:color w:val="555555"/>
          <w:sz w:val="18"/>
          <w:szCs w:val="18"/>
        </w:rPr>
        <w:t xml:space="preserve">Conformant = Control implemented and operating effectively | Partial = Control exists but has significant gaps | Non-Conformant = Control absent or ineffective</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8. Risk Treatment Plan</w:t>
      </w:r>
    </w:p>
    <w:p>
      <w:pPr>
        <w:spacing w:after="60" w:before="60"/>
      </w:pPr>
      <w:r>
        <w:rPr>
          <w:rFonts w:ascii="Arial" w:cs="Arial" w:eastAsia="Arial" w:hAnsi="Arial"/>
          <w:color w:val="000000"/>
          <w:sz w:val="22"/>
          <w:szCs w:val="22"/>
        </w:rPr>
        <w:t xml:space="preserve">The following table outlines recommended treatment actions for each identified risk, aligned to ISO/IEC 27001:2022 controls. Priorities are classified as Immediate (&lt;30 days), Short-Term (1–3 months), Medium-Term (3–6 months), or Long-Term (6–12 months).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400"/>
        <w:gridCol w:w="1300"/>
        <w:gridCol w:w="1500"/>
        <w:gridCol w:w="19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Risk ID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Rating</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Treatment Action</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Owner</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 27001 Controls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IT-01</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EDR, enforce patch SLA &lt;30 days, air-gapped backups</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CISO / IT Ops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A.8.7, A.8.13, A.8.32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IT-02</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MFA enterprise-wide, conduct quarterly phishing simulations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CISO / HR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A.6.3, A.5.17, A.8.5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IT-03</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PAM solution, enforce least privilege, quarterly access reviews</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IAM Team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A.5.15, A.5.18, A.8.2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IT-04</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Encrypt sensitive data at rest/transit, tokenize payment data, VAPT</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Security / Legal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A.8.24, A.5.34, A.8.11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IT-05</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DMZ between IT and OT, micro-segmentation, strict firewall ACLs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Network Team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A.8.20, A.8.22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IT-06</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vendor risk management program, just-in-time privileged access</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Procurement / CISO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A.5.19, A.5.20, A.5.22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IT-07</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Upgrade DCIM controls, biometric access, 24/7 CCTV with log retention</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Facilities / IT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A.7.2, A.7.3, A.7.4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IT-08</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Automate backup verification, implement 3-2-1 backup strategy, DR drills</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Ops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A.8.13, A.5.29, A.5.30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OT-01</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Air-gap EMS, credential hardening, ICS-specific intrusion detection (Claroty/Dragos)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Security / EMS 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A.8.20, A.8.5, A.7.1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OT-02</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patch management program, firmware signing &amp; validation, vendor SLAs</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Engineering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A.8.8, A.8.9, A.8.32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OT-03</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MFA + PAM for OT remote access, record all privileged sessions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Security / IT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A.8.5, A.8.15, A.5.17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OT-04</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Network segregation for historian, DLP on outbound data, anomaly detection</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Security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A.8.12, A.8.24, A.8.20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OT-05</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encrypted protocol wrappers (DNP3-SA), encrypted tunnels where feasible</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Long-Term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Engineering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A.8.24, A.8.20, A.8.22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OT-06</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Individual operator accounts, MFA, session recording, anomaly-based alerting</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Operations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A.6.3, A.8.5, A.8.15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OT-07</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CCTV + motion sensors at substations, tamper-evident seals, security patrols</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Facilities / Security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A.7.1, A.7.2, A.7.4, A.7.11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OT-08</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Vendor-specific jump server, session monitoring, time-limited access tokens</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Procurement / OT Security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A.5.19, A.5.22, A.8.5</w:t>
            </w:r>
          </w:p>
        </w:tc>
      </w:tr>
    </w:tbl>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9. Strategic Recommendations</w:t>
      </w:r>
    </w:p>
    <w:p>
      <w:pPr>
        <w:pStyle w:val="Heading2"/>
        <w:spacing w:after="120" w:before="240"/>
      </w:pPr>
      <w:r>
        <w:rPr>
          <w:rFonts w:ascii="Arial" w:cs="Arial" w:eastAsia="Arial" w:hAnsi="Arial"/>
          <w:b/>
          <w:bCs/>
          <w:color w:val="1B3A6B"/>
          <w:sz w:val="26"/>
          <w:szCs w:val="26"/>
        </w:rPr>
        <w:t xml:space="preserve">9.1 Establish an OT Security Operations Capability</w:t>
      </w:r>
    </w:p>
    <w:p>
      <w:pPr>
        <w:spacing w:after="60" w:before="60"/>
      </w:pPr>
      <w:r>
        <w:rPr>
          <w:rFonts w:ascii="Arial" w:cs="Arial" w:eastAsia="Arial" w:hAnsi="Arial"/>
          <w:color w:val="000000"/>
          <w:sz w:val="22"/>
          <w:szCs w:val="22"/>
        </w:rPr>
        <w:t xml:space="preserve">TANGEDCO should deploy an OT-specific Network Detection &amp; Response (NDR) platform (e.g., Dragos, Claroty, or Microsoft Defender for IoT) to achieve visibility into ICS network traffic. This should feed into a unified Security Operations Centre (SOC) capable of correlating IT and OT threat telemetry. Integration with CERT-In and power-sector ISAC feeds is recommended.</w:t>
      </w:r>
    </w:p>
    <w:p>
      <w:pPr>
        <w:pStyle w:val="Heading2"/>
        <w:spacing w:after="120" w:before="240"/>
      </w:pPr>
      <w:r>
        <w:rPr>
          <w:rFonts w:ascii="Arial" w:cs="Arial" w:eastAsia="Arial" w:hAnsi="Arial"/>
          <w:b/>
          <w:bCs/>
          <w:color w:val="1B3A6B"/>
          <w:sz w:val="26"/>
          <w:szCs w:val="26"/>
        </w:rPr>
        <w:t xml:space="preserve">9.2 Implement the Purdue Model for IT/OT Segmentation</w:t>
      </w:r>
    </w:p>
    <w:p>
      <w:pPr>
        <w:spacing w:after="60" w:before="60"/>
      </w:pPr>
      <w:r>
        <w:rPr>
          <w:rFonts w:ascii="Arial" w:cs="Arial" w:eastAsia="Arial" w:hAnsi="Arial"/>
          <w:color w:val="000000"/>
          <w:sz w:val="22"/>
          <w:szCs w:val="22"/>
        </w:rPr>
        <w:t xml:space="preserve">Network architecture should be redesigned to align with the Purdue Enterprise Reference Architecture (PERA), with clearly defined zones: Enterprise (Level 4–5), DMZ (Level 3.5), Manufacturing Operations (Level 3), Control (Level 2), Field (Level 1–0). Unidirectional security gateways (data diodes) should be evaluated for data flows from OT Historian to IT systems.</w:t>
      </w:r>
    </w:p>
    <w:p>
      <w:pPr>
        <w:pStyle w:val="Heading2"/>
        <w:spacing w:after="120" w:before="240"/>
      </w:pPr>
      <w:r>
        <w:rPr>
          <w:rFonts w:ascii="Arial" w:cs="Arial" w:eastAsia="Arial" w:hAnsi="Arial"/>
          <w:b/>
          <w:bCs/>
          <w:color w:val="1B3A6B"/>
          <w:sz w:val="26"/>
          <w:szCs w:val="26"/>
        </w:rPr>
        <w:t xml:space="preserve">9.3 Deploy Privileged Access Management (PAM)</w:t>
      </w:r>
    </w:p>
    <w:p>
      <w:pPr>
        <w:spacing w:after="60" w:before="60"/>
      </w:pPr>
      <w:r>
        <w:rPr>
          <w:rFonts w:ascii="Arial" w:cs="Arial" w:eastAsia="Arial" w:hAnsi="Arial"/>
          <w:color w:val="000000"/>
          <w:sz w:val="22"/>
          <w:szCs w:val="22"/>
        </w:rPr>
        <w:t xml:space="preserve">A PAM solution (e.g., CyberArk, BeyondTrust, or Delinea) should be deployed organisation-wide, covering both IT and OT privileged accounts. All shared accounts — particularly on SCADA workstations — must be eliminated and replaced with individual named accounts with MFA enforced. Vendor access should be channelled through a dedicated vendor jump server with session recording.</w:t>
      </w:r>
    </w:p>
    <w:p>
      <w:pPr>
        <w:pStyle w:val="Heading2"/>
        <w:spacing w:after="120" w:before="240"/>
      </w:pPr>
      <w:r>
        <w:rPr>
          <w:rFonts w:ascii="Arial" w:cs="Arial" w:eastAsia="Arial" w:hAnsi="Arial"/>
          <w:b/>
          <w:bCs/>
          <w:color w:val="1B3A6B"/>
          <w:sz w:val="26"/>
          <w:szCs w:val="26"/>
        </w:rPr>
        <w:t xml:space="preserve">9.4 Develop an OT Patch &amp; Vulnerability Management Programme</w:t>
      </w:r>
    </w:p>
    <w:p>
      <w:pPr>
        <w:spacing w:after="60" w:before="60"/>
      </w:pPr>
      <w:r>
        <w:rPr>
          <w:rFonts w:ascii="Arial" w:cs="Arial" w:eastAsia="Arial" w:hAnsi="Arial"/>
          <w:color w:val="000000"/>
          <w:sz w:val="22"/>
          <w:szCs w:val="22"/>
        </w:rPr>
        <w:t xml:space="preserve">Given the challenges of patching live OT environments, a structured OT patch management programme should be developed in collaboration with device vendors. This should include a formal asset inventory, vulnerability intake process (referencing ICS-CERT advisories), risk-based patch prioritisation, and scheduled maintenance windows for firmware updates. Where patching is infeasible, compensating controls (network isolation, protocol-level filtering) must be documented.</w:t>
      </w:r>
    </w:p>
    <w:p>
      <w:pPr>
        <w:pStyle w:val="Heading2"/>
        <w:spacing w:after="120" w:before="240"/>
      </w:pPr>
      <w:r>
        <w:rPr>
          <w:rFonts w:ascii="Arial" w:cs="Arial" w:eastAsia="Arial" w:hAnsi="Arial"/>
          <w:b/>
          <w:bCs/>
          <w:color w:val="1B3A6B"/>
          <w:sz w:val="26"/>
          <w:szCs w:val="26"/>
        </w:rPr>
        <w:t xml:space="preserve">9.5 Conduct Annual Cybersecurity Training &amp; Drills</w:t>
      </w:r>
    </w:p>
    <w:p>
      <w:pPr>
        <w:spacing w:after="60" w:before="60"/>
      </w:pPr>
      <w:r>
        <w:rPr>
          <w:rFonts w:ascii="Arial" w:cs="Arial" w:eastAsia="Arial" w:hAnsi="Arial"/>
          <w:color w:val="000000"/>
          <w:sz w:val="22"/>
          <w:szCs w:val="22"/>
        </w:rPr>
        <w:t xml:space="preserve">A mandatory annual security awareness programme should be implemented for all TANGEDCO staff, with role-specific modules for OT operators, IT administrators, and senior management. Tabletop exercises simulating a ransomware attack on IT systems and a grid disruption via SCADA compromise should be conducted annually, with lessons-learned integrated into incident response procedures.</w:t>
      </w:r>
    </w:p>
    <w:p>
      <w:pPr>
        <w:pStyle w:val="Heading2"/>
        <w:spacing w:after="120" w:before="240"/>
      </w:pPr>
      <w:r>
        <w:rPr>
          <w:rFonts w:ascii="Arial" w:cs="Arial" w:eastAsia="Arial" w:hAnsi="Arial"/>
          <w:b/>
          <w:bCs/>
          <w:color w:val="1B3A6B"/>
          <w:sz w:val="26"/>
          <w:szCs w:val="26"/>
        </w:rPr>
        <w:t xml:space="preserve">9.6 Pursue ISO/IEC 27001:2022 Certification</w:t>
      </w:r>
    </w:p>
    <w:p>
      <w:pPr>
        <w:spacing w:after="60" w:before="60"/>
      </w:pPr>
      <w:r>
        <w:rPr>
          <w:rFonts w:ascii="Arial" w:cs="Arial" w:eastAsia="Arial" w:hAnsi="Arial"/>
          <w:color w:val="000000"/>
          <w:sz w:val="22"/>
          <w:szCs w:val="22"/>
        </w:rPr>
        <w:t xml:space="preserve">Given the breadth of the compliance gaps identified, TANGEDCO should initiate a formal ISO/IEC 27001:2022 ISMS implementation programme targeting Stage 1 and Stage 2 certification audits within 18 months. This would align TANGEDCO with the CEA Cyber Security Guidelines' requirements for critical infrastructure operators and strengthen the organisation's posture against regulatory scrutiny.</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10. OT/SCADA Attack Scenarios</w:t>
      </w:r>
    </w:p>
    <w:p>
      <w:pPr>
        <w:spacing w:after="60" w:before="60"/>
      </w:pPr>
      <w:r>
        <w:rPr>
          <w:rFonts w:ascii="Arial" w:cs="Arial" w:eastAsia="Arial" w:hAnsi="Arial"/>
          <w:color w:val="000000"/>
          <w:sz w:val="22"/>
          <w:szCs w:val="22"/>
        </w:rPr>
        <w:t xml:space="preserve">The following scenarios illustrate realistic, technically grounded attack paths against TANGEDCO's IT and OT environments. Each scenario is mapped to the MITRE ATT&amp;CK for ICS framework and references observed real-world malware families. These scenarios are intended to drive targeted defensive investments and test incident response readiness.</w:t>
      </w:r>
    </w:p>
    <w:p>
      <w:pPr>
        <w:spacing w:after="0" w:before="0"/>
      </w:pPr>
      <w:r>
        <w:t xml:space="preserve"/>
      </w:r>
    </w:p>
    <w:p>
      <w:pPr>
        <w:pStyle w:val="Heading2"/>
        <w:spacing w:after="120" w:before="240"/>
      </w:pPr>
      <w:r>
        <w:rPr>
          <w:rFonts w:ascii="Arial" w:cs="Arial" w:eastAsia="Arial" w:hAnsi="Arial"/>
          <w:b/>
          <w:bCs/>
          <w:color w:val="1B3A6B"/>
          <w:sz w:val="26"/>
          <w:szCs w:val="26"/>
        </w:rPr>
        <w:t xml:space="preserve">10.1 Scenario A — Ransomware with IT/OT Pivot</w:t>
      </w:r>
    </w:p>
    <w:p>
      <w:pPr>
        <w:pStyle w:val="Heading3"/>
        <w:spacing w:after="80" w:before="160"/>
      </w:pPr>
      <w:r>
        <w:rPr>
          <w:rFonts w:ascii="Arial" w:cs="Arial" w:eastAsia="Arial" w:hAnsi="Arial"/>
          <w:b/>
          <w:bCs/>
          <w:color w:val="555555"/>
          <w:sz w:val="22"/>
          <w:szCs w:val="22"/>
        </w:rPr>
        <w:t xml:space="preserve">Threat Profile</w:t>
      </w:r>
    </w:p>
    <w:p>
      <w:pPr>
        <w:spacing w:after="60" w:before="60"/>
      </w:pPr>
      <w:r>
        <w:rPr>
          <w:rFonts w:ascii="Arial" w:cs="Arial" w:eastAsia="Arial" w:hAnsi="Arial"/>
          <w:color w:val="000000"/>
          <w:sz w:val="22"/>
          <w:szCs w:val="22"/>
        </w:rPr>
        <w:t xml:space="preserve">Actor: Financially motivated ransomware group (e.g., LockBit 3.0, BlackCat/ALPHV). Motivation: Extortion. Probability: HIGH — power utilities are a top-5 ransomware target sector globally.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000"/>
        <w:gridCol w:w="3060"/>
      </w:tblGrid>
      <w:tr>
        <w:trPr>
          <w:tblHeader/>
        </w:trPr>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ATT&amp;CK ICS Technique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TANGEDCO-Specific Action</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Indicator of Compromise</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Initial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T0817 – Drive-by Compromise / T0865 – Spear-phishing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Employee receives invoice-themed phishing email. Malicious macro in attached Excel file executes PowerShell dropper on corporate endpoint.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Outbound C2 connection; PowerShell spawned from Office process; encoded command-line arguments</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Execution &amp; Persistence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T0807 – Command-Line Interface / T0859 – Valid Accounts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Attacker establishes persistence via scheduled task mimicking Windows Update. Credential harvester (Mimikatz) extracts Active Directory hashes.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scheduled task with Base64 payload; LSASS memory read events; duplicate logon sessions</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Lateral Movement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T0812 – Default Credentials / T0886 – Remote Services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Harvested domain admin credentials used to pivot via RDP and SMB. Reaches SCADA historian server on corporate LAN.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Anomalous RDP from non-IT hosts; SMB connections to historian server IP</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T0840 – Network Connection Enumeration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nmap and native Windows tools used to map SCADA subnet. Identifies EMS workstations, HMI servers, and engineering PCs.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Internal port scan from corporate host; ARP table anomalies; SCADA subnet traffic from non-OT source</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Impact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T0882 – Theft of Operational Information / T0816 – Device Restart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Ransomware encrypts IT servers and attempts propagation to historian. OT team initiates precautionary EMS shutdown. Grid operations revert to manual control.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Mass file rename events; VSS deletion commands; EMS communication loss alarm; ransom note dropped</w:t>
            </w:r>
          </w:p>
        </w:tc>
      </w:tr>
    </w:tbl>
    <w:p>
      <w:pPr>
        <w:spacing w:after="0" w:before="0"/>
      </w:pPr>
      <w:r>
        <w:t xml:space="preserve"/>
      </w:r>
    </w:p>
    <w:p>
      <w:pPr>
        <w:pStyle w:val="Heading3"/>
        <w:spacing w:after="80" w:before="160"/>
      </w:pPr>
      <w:r>
        <w:rPr>
          <w:rFonts w:ascii="Arial" w:cs="Arial" w:eastAsia="Arial" w:hAnsi="Arial"/>
          <w:b/>
          <w:bCs/>
          <w:color w:val="555555"/>
          <w:sz w:val="22"/>
          <w:szCs w:val="22"/>
        </w:rPr>
        <w:t xml:space="preserve">Key Gaps Exploited</w:t>
      </w:r>
    </w:p>
    <w:p>
      <w:pPr>
        <w:pStyle w:val="ListParagraph"/>
        <w:numPr>
          <w:ilvl w:val="0"/>
          <w:numId w:val="2"/>
        </w:numPr>
        <w:spacing w:after="40" w:before="40"/>
      </w:pPr>
      <w:r>
        <w:rPr>
          <w:rFonts w:ascii="Arial" w:cs="Arial" w:eastAsia="Arial" w:hAnsi="Arial"/>
          <w:sz w:val="22"/>
          <w:szCs w:val="22"/>
        </w:rPr>
        <w:t xml:space="preserve">No MFA on corporate email or RDP — single compromised credential grants full lateral movement.</w:t>
      </w:r>
    </w:p>
    <w:p>
      <w:pPr>
        <w:pStyle w:val="ListParagraph"/>
        <w:numPr>
          <w:ilvl w:val="0"/>
          <w:numId w:val="2"/>
        </w:numPr>
        <w:spacing w:after="40" w:before="40"/>
      </w:pPr>
      <w:r>
        <w:rPr>
          <w:rFonts w:ascii="Arial" w:cs="Arial" w:eastAsia="Arial" w:hAnsi="Arial"/>
          <w:sz w:val="22"/>
          <w:szCs w:val="22"/>
        </w:rPr>
        <w:t xml:space="preserve">Flat network — no firewall between corporate LAN and SCADA historian subnet.</w:t>
      </w:r>
    </w:p>
    <w:p>
      <w:pPr>
        <w:pStyle w:val="ListParagraph"/>
        <w:numPr>
          <w:ilvl w:val="0"/>
          <w:numId w:val="2"/>
        </w:numPr>
        <w:spacing w:after="40" w:before="40"/>
      </w:pPr>
      <w:r>
        <w:rPr>
          <w:rFonts w:ascii="Arial" w:cs="Arial" w:eastAsia="Arial" w:hAnsi="Arial"/>
          <w:sz w:val="22"/>
          <w:szCs w:val="22"/>
        </w:rPr>
        <w:t xml:space="preserve">No EDR on endpoints — ransomware dropper executes undetected for 4–6 hours.</w:t>
      </w:r>
    </w:p>
    <w:p>
      <w:pPr>
        <w:spacing w:after="0" w:before="0"/>
      </w:pPr>
      <w:r>
        <w:t xml:space="preserve"/>
      </w:r>
    </w:p>
    <w:p>
      <w:pPr>
        <w:pStyle w:val="Heading2"/>
        <w:spacing w:after="120" w:before="240"/>
      </w:pPr>
      <w:r>
        <w:rPr>
          <w:rFonts w:ascii="Arial" w:cs="Arial" w:eastAsia="Arial" w:hAnsi="Arial"/>
          <w:b/>
          <w:bCs/>
          <w:color w:val="1B3A6B"/>
          <w:sz w:val="26"/>
          <w:szCs w:val="26"/>
        </w:rPr>
        <w:t xml:space="preserve">10.2 Scenario B — Nation-State SCADA Attack (Industroyer-class)</w:t>
      </w:r>
    </w:p>
    <w:p>
      <w:pPr>
        <w:pStyle w:val="Heading3"/>
        <w:spacing w:after="80" w:before="160"/>
      </w:pPr>
      <w:r>
        <w:rPr>
          <w:rFonts w:ascii="Arial" w:cs="Arial" w:eastAsia="Arial" w:hAnsi="Arial"/>
          <w:b/>
          <w:bCs/>
          <w:color w:val="555555"/>
          <w:sz w:val="22"/>
          <w:szCs w:val="22"/>
        </w:rPr>
        <w:t xml:space="preserve">Threat Profile</w:t>
      </w:r>
    </w:p>
    <w:p>
      <w:pPr>
        <w:spacing w:after="60" w:before="60"/>
      </w:pPr>
      <w:r>
        <w:rPr>
          <w:rFonts w:ascii="Arial" w:cs="Arial" w:eastAsia="Arial" w:hAnsi="Arial"/>
          <w:color w:val="000000"/>
          <w:sz w:val="22"/>
          <w:szCs w:val="22"/>
        </w:rPr>
        <w:t xml:space="preserve">Actor: Nation-state APT (e.g., Sandworm / Volt Typhoon). Motivation: Pre-positioning for grid disruption. Malware Family: Industroyer2 / CRASHOVERRIDE — targets IEC 104 and IEC 61850 protocols used in Indian grid SCADA.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000"/>
        <w:gridCol w:w="3060"/>
      </w:tblGrid>
      <w:tr>
        <w:trPr>
          <w:tblHeader/>
        </w:trPr>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ATT&amp;CK ICS Technique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TANGEDCO-Specific Action</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Indicator of Compromise</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Initial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T0866 – Exploitation of Remote Services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APT exploits unpatched VPN appliance CVE to gain foothold on DMZ jump server used for SCADA remote access.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Auth from foreign IP range; VPN process spawning cmd.exe; new admin account creation on jump server</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Establish Foothold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T0859 – Valid Accounts (Privileged)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Backdoor implanted on engineering workstation. Months of reconnaissance — mapping IEC 104 RTU addresses, substation IDs, breaker control commands.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Low-volume anomalous traffic to RTU IP ranges outside maintenance windows; new DLL in SCADA process</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Develop Capability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T0830 – Adversary-in-the-Middle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Attacker reverse-engineers IEC 104 ASDU command structure. Builds payload to send OPEN commands to specific circuit breakers.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network-visible IoC at this stage — occurs offline on attacker infrastructure</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Execute Attack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T0855 – Unauthorised Command Message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Crafted IEC 104 C_DC_NA_1 commands sent to open circuit breakers at multiple 110kV substations simultaneously. Wiper module deletes SCADA workstation MBR.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Burst of IEC 104 Type ID 3 commands from non-EMS IP; simultaneous breaker OPEN events; EMS workstation boot failure</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Impact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T0826 – Loss of Availability / T0813 – Denial of 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Multiple 110kV feeders trip. Operators lose SCADA visibility. Restoration requires manual field inspections — estimated 4–8 hour outage.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SCADA HMI unresponsive; field crew reports open breakers with no grid fault; RTU comms loss alarm</w:t>
            </w:r>
          </w:p>
        </w:tc>
      </w:tr>
    </w:tbl>
    <w:p>
      <w:pPr>
        <w:spacing w:after="0" w:before="0"/>
      </w:pPr>
      <w:r>
        <w:t xml:space="preserve"/>
      </w:r>
    </w:p>
    <w:p>
      <w:pPr>
        <w:pStyle w:val="Heading3"/>
        <w:spacing w:after="80" w:before="160"/>
      </w:pPr>
      <w:r>
        <w:rPr>
          <w:rFonts w:ascii="Arial" w:cs="Arial" w:eastAsia="Arial" w:hAnsi="Arial"/>
          <w:b/>
          <w:bCs/>
          <w:color w:val="555555"/>
          <w:sz w:val="22"/>
          <w:szCs w:val="22"/>
        </w:rPr>
        <w:t xml:space="preserve">Key Gaps Exploited</w:t>
      </w:r>
    </w:p>
    <w:p>
      <w:pPr>
        <w:pStyle w:val="ListParagraph"/>
        <w:numPr>
          <w:ilvl w:val="0"/>
          <w:numId w:val="2"/>
        </w:numPr>
        <w:spacing w:after="40" w:before="40"/>
      </w:pPr>
      <w:r>
        <w:rPr>
          <w:rFonts w:ascii="Arial" w:cs="Arial" w:eastAsia="Arial" w:hAnsi="Arial"/>
          <w:sz w:val="22"/>
          <w:szCs w:val="22"/>
        </w:rPr>
        <w:t xml:space="preserve">No passive ICS network monitoring — malicious IEC 104 commands are indistinguishable from legitimate ones without a behavioural baseline.</w:t>
      </w:r>
    </w:p>
    <w:p>
      <w:pPr>
        <w:pStyle w:val="ListParagraph"/>
        <w:numPr>
          <w:ilvl w:val="0"/>
          <w:numId w:val="2"/>
        </w:numPr>
        <w:spacing w:after="40" w:before="40"/>
      </w:pPr>
      <w:r>
        <w:rPr>
          <w:rFonts w:ascii="Arial" w:cs="Arial" w:eastAsia="Arial" w:hAnsi="Arial"/>
          <w:sz w:val="22"/>
          <w:szCs w:val="22"/>
        </w:rPr>
        <w:t xml:space="preserve">No command whitelisting or protocol-level authentication on RTU communications.</w:t>
      </w:r>
    </w:p>
    <w:p>
      <w:pPr>
        <w:pStyle w:val="ListParagraph"/>
        <w:numPr>
          <w:ilvl w:val="0"/>
          <w:numId w:val="2"/>
        </w:numPr>
        <w:spacing w:after="40" w:before="40"/>
      </w:pPr>
      <w:r>
        <w:rPr>
          <w:rFonts w:ascii="Arial" w:cs="Arial" w:eastAsia="Arial" w:hAnsi="Arial"/>
          <w:sz w:val="22"/>
          <w:szCs w:val="22"/>
        </w:rPr>
        <w:t xml:space="preserve">Engineering workstation runs end-of-life OS — no EDR support.</w:t>
      </w:r>
    </w:p>
    <w:p>
      <w:pPr>
        <w:spacing w:after="0" w:before="0"/>
      </w:pPr>
      <w:r>
        <w:t xml:space="preserve"/>
      </w:r>
    </w:p>
    <w:p>
      <w:pPr>
        <w:pStyle w:val="Heading2"/>
        <w:spacing w:after="120" w:before="240"/>
      </w:pPr>
      <w:r>
        <w:rPr>
          <w:rFonts w:ascii="Arial" w:cs="Arial" w:eastAsia="Arial" w:hAnsi="Arial"/>
          <w:b/>
          <w:bCs/>
          <w:color w:val="1B3A6B"/>
          <w:sz w:val="26"/>
          <w:szCs w:val="26"/>
        </w:rPr>
        <w:t xml:space="preserve">10.3 Scenario C — Safety System Attack (TRITON/TRISIS-class)</w:t>
      </w:r>
    </w:p>
    <w:p>
      <w:pPr>
        <w:pStyle w:val="Heading3"/>
        <w:spacing w:after="80" w:before="160"/>
      </w:pPr>
      <w:r>
        <w:rPr>
          <w:rFonts w:ascii="Arial" w:cs="Arial" w:eastAsia="Arial" w:hAnsi="Arial"/>
          <w:b/>
          <w:bCs/>
          <w:color w:val="555555"/>
          <w:sz w:val="22"/>
          <w:szCs w:val="22"/>
        </w:rPr>
        <w:t xml:space="preserve">Threat Profile</w:t>
      </w:r>
    </w:p>
    <w:p>
      <w:pPr>
        <w:spacing w:after="60" w:before="60"/>
      </w:pPr>
      <w:r>
        <w:rPr>
          <w:rFonts w:ascii="Arial" w:cs="Arial" w:eastAsia="Arial" w:hAnsi="Arial"/>
          <w:color w:val="000000"/>
          <w:sz w:val="22"/>
          <w:szCs w:val="22"/>
        </w:rPr>
        <w:t xml:space="preserve">Actor: Nation-state APT targeting Safety Instrumented Systems (SIS). Malware Family: TRITON/TRISIS — first observed against Schneider Electric Triconex SIS at a Middle East refinery. Directly relevant to TANGEDCO's thermal generation plants with turbine/boiler safety shutdown systems.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3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Attacker Action</w:t>
            </w:r>
          </w:p>
        </w:tc>
        <w:tc>
          <w:tcPr>
            <w:tcW w:type="dxa" w:w="3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Potential Impact on TANGEDCO</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Initial Compromise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Spear-phish targeting thermal plant engineers. Malware establishes persistence on workstation with access to both DCS and SIS networks.</w:t>
            </w:r>
          </w:p>
        </w:tc>
        <w:tc>
          <w:tcPr>
            <w:tcW w:type="dxa" w:w="37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initial impact — attacker in reconnaissance for months</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SIS Reconnaissance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Attacker identifies SIS brand (e.g., boiler/turbine emergency shutdown system) and firmware version. Downloads vendor SIS programming software.</w:t>
            </w:r>
          </w:p>
        </w:tc>
        <w:tc>
          <w:tcPr>
            <w:tcW w:type="dxa" w:w="37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Undetected — no OT asset inventory or anomaly detection in place</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SIS Reprogramming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TRITON-class malware communicates with SIS controller via proprietary protocol. Attempts to modify safety logic to disable automatic shutdown on turbine overpressure or boiler overheat.</w:t>
            </w:r>
          </w:p>
        </w:tc>
        <w:tc>
          <w:tcPr>
            <w:tcW w:type="dxa" w:w="37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successful: turbine/boiler safety shutdowns disabled. Physical equipment damage or catastrophic failure becomes possible.</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Trigger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Attacker simultaneously executes DCS attack to cause process excursion while SIS is disabled. Plant cannot safely shut down.</w:t>
            </w:r>
          </w:p>
        </w:tc>
        <w:tc>
          <w:tcPr>
            <w:tcW w:type="dxa" w:w="37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Potential turbine explosion, fire, equipment destruction, personnel injury, multi-month generation outage at thermal plant.</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This scenario has lower probability than A/B but represents a catastrophic tail risk for TANGEDCO's thermal generation assets.</w:t>
      </w:r>
    </w:p>
    <w:p>
      <w:pPr>
        <w:pStyle w:val="ListParagraph"/>
        <w:numPr>
          <w:ilvl w:val="0"/>
          <w:numId w:val="2"/>
        </w:numPr>
        <w:spacing w:after="40" w:before="40"/>
      </w:pPr>
      <w:r>
        <w:rPr>
          <w:rFonts w:ascii="Arial" w:cs="Arial" w:eastAsia="Arial" w:hAnsi="Arial"/>
          <w:sz w:val="22"/>
          <w:szCs w:val="22"/>
        </w:rPr>
        <w:t xml:space="preserve">Mitigation: Air-gap SIS from all other networks; SIS-specific change management; vendor-supplied integrity checking; IEC 62443 SL-4 for Z-6 Process zone.</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11. IEC 62443 Zone and Conduit Model</w:t>
      </w:r>
    </w:p>
    <w:p>
      <w:pPr>
        <w:spacing w:after="60" w:before="60"/>
      </w:pPr>
      <w:r>
        <w:rPr>
          <w:rFonts w:ascii="Arial" w:cs="Arial" w:eastAsia="Arial" w:hAnsi="Arial"/>
          <w:color w:val="000000"/>
          <w:sz w:val="22"/>
          <w:szCs w:val="22"/>
        </w:rPr>
        <w:t xml:space="preserve">IEC 62443 is the international standard for Industrial Automation and Control System (IACS) security. It defines a Zone and Conduit model for segmenting OT networks and specifying Security Levels (SL-1 through SL-4) based on the sophistication of attack that must be resisted.</w:t>
      </w:r>
    </w:p>
    <w:p>
      <w:pPr>
        <w:spacing w:after="0" w:before="0"/>
      </w:pPr>
      <w:r>
        <w:t xml:space="preserve"/>
      </w:r>
    </w:p>
    <w:p>
      <w:pPr>
        <w:pStyle w:val="Heading2"/>
        <w:spacing w:after="120" w:before="240"/>
      </w:pPr>
      <w:r>
        <w:rPr>
          <w:rFonts w:ascii="Arial" w:cs="Arial" w:eastAsia="Arial" w:hAnsi="Arial"/>
          <w:b/>
          <w:bCs/>
          <w:color w:val="1B3A6B"/>
          <w:sz w:val="26"/>
          <w:szCs w:val="26"/>
        </w:rPr>
        <w:t xml:space="preserve">11.1 Security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Threat Actor</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Casual / Opportunistic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Protection against unintentional or incidental violations. Minimum baseline for all zones.</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Intentional, Low Resources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Protection against deliberate attacks using standard IT tools and public exploits. Target for enterprise IT zones.</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Sophisticated, Moderate Resources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Protection against ICS-specific knowledge and custom tools (e.g., Industroyer). Target for SCADA operations and control zones.</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Nation-State, Unlimited Resources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Protection against state-sponsored actors with APT capabilities (e.g., TRITON). Target for Safety Instrumented Systems.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11.2 TANGEDCO Zone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500"/>
        <w:gridCol w:w="1560"/>
        <w:gridCol w:w="2800"/>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Zone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Purdue Level</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Assets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Target SL</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Current Compliance Gap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Z-1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L4–L5 Enterprise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SAP ERP, billing portal, email, HR systems, corporate LAN</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SL-2</w:t>
            </w:r>
          </w:p>
        </w:tc>
        <w:tc>
          <w:tcPr>
            <w:tcW w:type="dxa" w:w="2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Partial — MFA absent on remote access; AD hardening incomplete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Z-2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L3.5 DMZ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SCADA Historian, patch server, vendor jump host</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SL-2 (boundary)</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Non-Conformant — DMZ not yet implemented; historian on corporate LAN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Z-3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L3 Operations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EMS, SCADA master, DMS, operations servers</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SL-3</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Non-Conformant — no OT NDR; shared operator accounts; unencrypted ICS traffic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Z-4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L2 Control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HMI servers, engineering workstations, RTDB</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SL-3</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Non-Conformant — end-of-life OS; no application whitelisting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Z-5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L1 Field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PLCs, RTUs at substations and generating stations</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SL-2</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Non-Conformant — unpatched firmware; default credentials on legacy devices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Z-6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L0 Process / 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Sensors, actuators, protection relays, safety shutdown systems</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SL-4 (SIS)</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Non-Conformant — SIS not air-gapped; no SIS integrity monitoring</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11.3 Conduit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2260"/>
        <w:gridCol w:w="400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From</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To</w:t>
            </w:r>
          </w:p>
        </w:tc>
        <w:tc>
          <w:tcPr>
            <w:tcW w:type="dxa" w:w="2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Purpose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Required Security Controls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Z-1 Enterprise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Z-2 DMZ</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replication, patch distribution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Stateful firewall; whitelist by port/IP; no bi-directional initiation from DMZ to Enterprise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Z-2 DMZ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Z-3 Operations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Historian write, authorised jump-host admin access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Unidirectional gateway (data diode) for historian; MFA + session recording for admin jump host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Z-3 Operations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Z-4 Control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SCADA commands to HMI and RTDB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TLS 1.3 encrypted channel; application-layer firewall; no internet access from Z-4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Z-4 Control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Z-5 Field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IEC 104 / DNP3 / Modbus to PLCs and RTUs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Protocol-aware firewall; DNP3-SA v5 where supported; OT NDR anomaly detection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Z-3 Operations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External Vendor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OEM remote support access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Dedicated vendor jump server; MFA; time-limited tokens; full session recording; no persistent VPN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Z-5 Field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Z-6 Process / SIS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Physical I/O to sensors; SIS communications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Air-gap between SIS and all IP networks; copper-only serial for SIS I/O; no IP connectivity to SIS</w:t>
            </w:r>
          </w:p>
        </w:tc>
      </w:tr>
    </w:tbl>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12. Incident Response Playbooks</w:t>
      </w:r>
    </w:p>
    <w:p>
      <w:pPr>
        <w:spacing w:after="60" w:before="60"/>
      </w:pPr>
      <w:r>
        <w:rPr>
          <w:rFonts w:ascii="Arial" w:cs="Arial" w:eastAsia="Arial" w:hAnsi="Arial"/>
          <w:color w:val="000000"/>
          <w:sz w:val="22"/>
          <w:szCs w:val="22"/>
        </w:rPr>
        <w:t xml:space="preserve">The following playbooks define structured response procedures for TANGEDCO's two highest-impact risk scenarios, following the NIST SP 800-61 Rev. 2 lifecycle: Preparation → Detection → Containment → Eradication → Recovery → Post-Incident Activity.</w:t>
      </w:r>
    </w:p>
    <w:p>
      <w:pPr>
        <w:spacing w:after="0" w:before="0"/>
      </w:pPr>
      <w:r>
        <w:t xml:space="preserve"/>
      </w:r>
    </w:p>
    <w:p>
      <w:pPr>
        <w:pStyle w:val="Heading2"/>
        <w:spacing w:after="120" w:before="240"/>
      </w:pPr>
      <w:r>
        <w:rPr>
          <w:rFonts w:ascii="Arial" w:cs="Arial" w:eastAsia="Arial" w:hAnsi="Arial"/>
          <w:b/>
          <w:bCs/>
          <w:color w:val="1B3A6B"/>
          <w:sz w:val="26"/>
          <w:szCs w:val="26"/>
        </w:rPr>
        <w:t xml:space="preserve">12.1 Playbook 1 — Ransomware Attack on IT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Actions</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Owner / Timeline</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Preparation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Maintain offline immutable backups (3-2-1 rule). Pre-deploy EDR on all endpoints. Maintain tiered asset inventory. Establish out-of-band comms (Signal/phone tree). Conduct annual tabletop.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CISO, IT Ops — Ongoing</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Detection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SIEM triggers on: mass file rename, VSS deletion, LSASS access, C2 beacon. SOC analyst validates via EDR telemetry and isolates affected host.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SOC Analyst — T+0 to T+30 min</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Initial Containment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Isolate affected hosts via VLAN quarantine. Disable compromised AD accounts. Block C2 IPs/domains at perimeter. Alert OT team to monitor IT/OT boundary for propagation.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SOC + Network Team — T+30 min to T+2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Scope Assessment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Determine blast radius: which hosts encrypted? Is domain admin compromised? Has ransomware reached DMZ or historian? Preserve forensic images before remediation.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IR Lead — T+2 hr to T+6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Notifications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Notify CISO, CIO, MD. Notify CERT-In within 6 hours per CERT-In Directions (2022). If customer data affected, notify PDPB DPA. Prepare staff communication.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CISO / Legal — T+6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Eradication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Rebuild affected systems from gold images. Reset all AD credentials domain-wide. Patch exploited vulnerability. Full EDR scan across estate.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Ops + IR Team — T+12 hr to T+48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Recovery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Restore data from last clean backup. Validate integrity before reconnecting. Restore services in priority order: billing &gt; email &gt; HR systems.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Ops — T+24 hr to T+72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Post-Incident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Root cause analysis within 5 business days. Update SIEM detection rules. Revise IR procedures. Brief leadership. File CERT-In closure report.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CISO / IR Lead — T+5 days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12.2 Playbook 2 — SCADA / OT Network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Actions</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Owner / Timeline</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Preparation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OT NDR (Dragos/Claroty) with traffic baseline. Maintain manual operating procedures for all SCADA-controlled processes. Pre-establish contact with CERT-In ICS team and SRLDC. Annual OT tabletop.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Security + Ops Engineering — Ongoing</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Detection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NDR alerts on: unknown device on ICS network, anomalous IEC 104/DNP3 command, new PLC connection, unauthorised EMS login, ICS protocol on non-standard port.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SOC Analyst — T+0 to T+20 min</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Immediate Containment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 NOT immediately shut down SCADA — assess live grid impact first. Isolate compromised workstation(s). Switch affected substations to local manual control. Alert SRLDC load dispatch.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Security + SCADA Ops Lead — T+20 min to T+1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Grid Stability Assessment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Coordinate with SRLDC on grid impact. Determine if any breaker commands were sent. Field verification of substation states vs. SCADA display.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Ops Engineering + Field Crew — T+1 hr to T+3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Scope &amp; Forensics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Capture OT network PCAP from NDR. Preserve workstation forensic images. Identify C2 IP, malware type, affected assets. Do NOT wipe OT systems before forensics.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IR Team + OT Security — T+3 hr to T+8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Stakeholder Notification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Notify CISO, CMD, Tamil Nadu SLDC. Notify CERT-In ICS team. Notify CEA if grid stability affected. Media/public comms coordinated by CMD office only.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CISO + CMD Office — T+6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Eradication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Re-image compromised workstations. Rotate all OT credentials. Apply available firmware patches. Audit recent SCADA configuration changes for tampering.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Engineering + Vendors — T+24 hr to T+72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Recovery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Restore SCADA from known-good config backups. Re-establish OT NDR baseline. Phase substations from manual back to SCADA control. Full grid verification.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Ops Engineering — T+48 hr to T+96 hr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Post-Incident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Root cause analysis. Update OT threat model. Revise zone/conduit controls per findings. Submit ICS-CERT advisory if novel malware. CEA compliance report.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Security + CISO — T+5 days</w:t>
            </w:r>
          </w:p>
        </w:tc>
      </w:tr>
    </w:tbl>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13. Technical Control Specifications</w:t>
      </w:r>
    </w:p>
    <w:p>
      <w:pPr>
        <w:pStyle w:val="Heading2"/>
        <w:spacing w:after="120" w:before="240"/>
      </w:pPr>
      <w:r>
        <w:rPr>
          <w:rFonts w:ascii="Arial" w:cs="Arial" w:eastAsia="Arial" w:hAnsi="Arial"/>
          <w:b/>
          <w:bCs/>
          <w:color w:val="1B3A6B"/>
          <w:sz w:val="26"/>
          <w:szCs w:val="26"/>
        </w:rPr>
        <w:t xml:space="preserve">13.1 Firewall ACL Rules — IT/OT DMZ Boundary</w:t>
      </w:r>
    </w:p>
    <w:p>
      <w:pPr>
        <w:spacing w:after="60" w:before="60"/>
      </w:pPr>
      <w:r>
        <w:rPr>
          <w:rFonts w:ascii="Arial" w:cs="Arial" w:eastAsia="Arial" w:hAnsi="Arial"/>
          <w:color w:val="000000"/>
          <w:sz w:val="22"/>
          <w:szCs w:val="22"/>
        </w:rPr>
        <w:t xml:space="preserve">The following table defines minimum required firewall rules for the IT-to-DMZ and DMZ-to-OT conduits. Rules follow a default-deny posture — all traffic not explicitly permitted is dropped and logged.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350"/>
        <w:gridCol w:w="1350"/>
        <w:gridCol w:w="1200"/>
        <w:gridCol w:w="1000"/>
        <w:gridCol w:w="700"/>
        <w:gridCol w:w="3210"/>
      </w:tblGrid>
      <w:tr>
        <w:trPr>
          <w:tblHeader/>
        </w:trPr>
        <w:tc>
          <w:tcPr>
            <w:tcW w:type="dxa" w:w="5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t>
            </w:r>
          </w:p>
        </w:tc>
        <w:tc>
          <w:tcPr>
            <w:tcW w:type="dxa" w:w="13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Source Zone</w:t>
            </w:r>
          </w:p>
        </w:tc>
        <w:tc>
          <w:tcPr>
            <w:tcW w:type="dxa" w:w="13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Dest Zone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Protocol / Port</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Direction</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Action</w:t>
            </w:r>
          </w:p>
        </w:tc>
        <w:tc>
          <w:tcPr>
            <w:tcW w:type="dxa" w:w="321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Justification</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101</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Enterprise (Z-1)</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DMZ (Z-2)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TCP 443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Outbound</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PERMIT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Patch management server pull from internet; scoped to patch server IP only</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102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DMZ (Z-2)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Enterprise (Z-1)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TCP 8443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Inbound</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PERMIT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Historian read-only data pull by enterprise reporting; source = historian IP only</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103</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DMZ (Z-2)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Inbound</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DENY</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Default deny all inbound to DMZ — only explicitly permitted traffic allowed</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201</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DMZ Jump Host</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Operations (Z-3)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TCP 3389 (RDP)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Outbound</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PERMIT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Authorised admin access via jump host; MFA required; session recorded</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202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DMZ Jump Host</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Operations (Z-3)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TCP 22 (SSH)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Outbound</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PERMIT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Engineering access to Linux SCADA servers; MFA required</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203</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Operations (Z-3)</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DMZ Historian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TCP 1433 (SQL)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Outbound</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PERMIT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SCADA historian write; source = SCADA master IP only</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204</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Operations (Z-3)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Inbound</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DENY</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Default deny; no direct Enterprise-to-OT access</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301</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Operations (Z-3)</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Control (Z-4)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TCP/UDP 2404 (IEC 104)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Outbound</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PERMIT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EMS to HMI SCADA commands; source = EMS server IP only</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302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Operations (Z-3)</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Control (Z-4)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UDP 20000 (DNP3)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Outbound</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PERMIT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DNP3 polling to substation RTUs; source = SCADA master IP only</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303</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Control (Z-4)</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Operations (Z-3)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UDP 20000 (DNP3)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Inbound</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PERMIT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DNP3 unsolicited responses from RTUs; destination = SCADA master only</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304</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Control (Z-4)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Inbound (internet)</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DENY</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internet access to or from control zone under any circumstances</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999</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DENY</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Explicit default deny — all unmatched traffic dropped and logged</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13.2 SIEM Detection Use Cases</w:t>
      </w:r>
    </w:p>
    <w:p>
      <w:pPr>
        <w:spacing w:after="60" w:before="60"/>
      </w:pPr>
      <w:r>
        <w:rPr>
          <w:rFonts w:ascii="Arial" w:cs="Arial" w:eastAsia="Arial" w:hAnsi="Arial"/>
          <w:color w:val="000000"/>
          <w:sz w:val="22"/>
          <w:szCs w:val="22"/>
        </w:rPr>
        <w:t xml:space="preserve">The following use cases should be implemented in TANGEDCO's SIEM (e.g., IBM QRadar, Splunk, or Microsoft Sentinel). OT use cases require OT NDR event ingestion. Each use case maps to a MITRE ATT&amp;CK or ATT&amp;CK for ICS technique.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600"/>
        <w:gridCol w:w="900"/>
        <w:gridCol w:w="1600"/>
        <w:gridCol w:w="1510"/>
        <w:gridCol w:w="3200"/>
      </w:tblGrid>
      <w:tr>
        <w:trPr>
          <w:tblHeader/>
        </w:trPr>
        <w:tc>
          <w:tcPr>
            <w:tcW w:type="dxa" w:w="5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UC #</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Use Case Name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Domain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Data Source</w:t>
            </w:r>
          </w:p>
        </w:tc>
        <w:tc>
          <w:tcPr>
            <w:tcW w:type="dxa" w:w="151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ATT&amp;CK Technique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Detection Logic</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AD Brute Force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Windows Security Events</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T1110 – Brute Force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failed logon events (ID 4625) from same source IP within 5 minutes → HIGH alert</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Lateral Movement via SMB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Windows Events / Sysmon</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T1021.002 – SMB Shares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SMB connection from non-IT workstation to server subnet → MEDIUM; remote admin tools executed → HIGH</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LSASS Memory Dump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Sysmon Event ID 10</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T1003.001 – LSASS 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Non-security process accessing LSASS memory → CRITICAL — immediate triage</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Mass File Rename (Ransomware)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Sysmon / Windows Audit</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T1486 – Data Encrypted for Impact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file rename events in 60 seconds from single user → CRITICAL — auto-quarantine endpoint</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Anomalous IEC 104 Command</w:t>
            </w:r>
          </w:p>
        </w:tc>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NDR (Claroty/Dragos)</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T0855 – Unauthorised Command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IEC 104 Type ID 45/46 command from non-EMS source IP → CRITICAL — immediate operator alert</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New Device on OT Network</w:t>
            </w:r>
          </w:p>
        </w:tc>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NDR / DHCP Logs</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T0848 – Rogue Master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Unknown MAC on SCADA VLAN → HIGH — OT security notification and investigation</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Privileged Account Outside Hours</w:t>
            </w:r>
          </w:p>
        </w:tc>
        <w:tc>
          <w:tcPr>
            <w:tcW w:type="dxa" w:w="9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Auth Logs</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T1078 – Valid Accounts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Admin/SCADA account active 20:00–06:00 weekdays or any time weekends → MEDIUM alert</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Large Outbound Data Transfer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Proxy / Firewall Logs</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T1041 – Exfiltration over C2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Single session &gt;500MB to non-whitelisted external IP → HIGH — block + alert</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ICS Engineering Software Outside Maintenance</w:t>
            </w:r>
          </w:p>
        </w:tc>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NDR + Process Logs</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T0890 – Remote Service Exploitation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ICS programming software active outside approved change window → MEDIUM</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UC-10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VPN Login from Anomalous Geography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VPN Auth / GeoIP</w:t>
            </w:r>
          </w:p>
        </w:tc>
        <w:tc>
          <w:tcPr>
            <w:tcW w:type="dxa" w:w="1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T1078 – Valid Accounts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Successful VPN auth from IP outside India → HIGH — MFA re-challenge + alert</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13.3 Privileged Access Management (PAM) Configuration Specification</w:t>
      </w:r>
    </w:p>
    <w:p>
      <w:pPr>
        <w:spacing w:after="60" w:before="60"/>
      </w:pPr>
      <w:r>
        <w:rPr>
          <w:rFonts w:ascii="Arial" w:cs="Arial" w:eastAsia="Arial" w:hAnsi="Arial"/>
          <w:color w:val="000000"/>
          <w:sz w:val="22"/>
          <w:szCs w:val="22"/>
        </w:rPr>
        <w:t xml:space="preserve">The following specifications define minimum PAM configuration requirements for TANGEDCO, covering both IT privileged accounts and OT/SCADA operator accounts.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PAM Control Area</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Specification</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Implementation Notes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Account Vaulting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privileged credentials (local admin, domain admin, service accounts, SCADA operator accounts) stored in encrypted PAM vault. No credentials stored in scripts or config files.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CyberArk EPV, BeyondTrust Password Safe, or Delinea Secret Server. HA deployment with offline backup. Rotation: IT admin 90 days; service accounts 180 days; OT accounts per maintenance window.</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Just-In-Time (JIT)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Privileged access is time-bound. No persistent admin rights. Users request access specifying purpose and duration; PAM issues temporary credential valid for that session only.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Max session duration: IT admin 4 hrs; SCADA engineer 2 hrs; vendor access 1 hr. Automatic revocation on session end or time expiry. No exceptions without CISO approval.</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Multi-Factor Authentication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MFA enforced for all PAM vault access and all privileged sessions. Hardware TOTP (YubiKey 5) preferred for OT environments; TOTP app acceptable for 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Hardware tokens preferred in control rooms due to no-smartphone policies. Biometric fallback on PAM console only — not on target OT systems.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Session Recording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privileged sessions (RDP, SSH, SCADA HMI, vendor access) are recorded — video and keystroke. Retained for 12 months minimum (CERT-In: 180-day log retention minimum).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Immutable storage for recordings. Access restricted to CISO, Legal, Audit. Used for post-incident forensics and compliance evidence.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Session Monitoring &amp; Auto-Termination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PAM monitors active sessions. Auto-termination triggers: idle &gt;15 min (OT), idle &gt;30 min (IT), suspicious commands (rm -rf, format, bcdedit, wevtutil cl).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Real-time SOC alerts on suspicious session activity. SOC can forcibly terminate any session from PAM console without notifying user.</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Vendor Access Controls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OEM/vendor access routed through dedicated vendor jump server managed by PAM. Individual named vendor accounts only — no shared credentials. Access pre-approved via change management ticket.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Max vendor session: 8 hours per ticket. All sessions recorded. Post-access: credentials auto-rotated. Monthly vendor access audit report to CISO.</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Audit &amp; Reporting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Automated monthly report: all privileged access events, failed attempts, session durations, MFA bypasses, dormant privileged accounts.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Distributed to CISO, IT Director, OT Security Lead. Exceptions escalated to CISO within 24 hours.</w:t>
            </w:r>
          </w:p>
        </w:tc>
      </w:tr>
    </w:tbl>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14. Conclusion</w:t>
      </w:r>
    </w:p>
    <w:p>
      <w:pPr>
        <w:spacing w:after="60" w:before="60"/>
      </w:pPr>
      <w:r>
        <w:rPr>
          <w:rFonts w:ascii="Arial" w:cs="Arial" w:eastAsia="Arial" w:hAnsi="Arial"/>
          <w:color w:val="000000"/>
          <w:sz w:val="22"/>
          <w:szCs w:val="22"/>
        </w:rPr>
        <w:t xml:space="preserve">TANGEDCO operates technology infrastructure that is critical to Tamil Nadu's economic activity and public welfare. This assessment has identified 16 cybersecurity risks, including 6 rated Critical, stemming primarily from inadequate IT–OT segmentation, absence of multi-factor authentication across privileged access pathways, unpatched legacy OT devices, and the use of unauthenticated industrial protocols.</w:t>
      </w:r>
    </w:p>
    <w:p>
      <w:pPr>
        <w:spacing w:after="0" w:before="0"/>
      </w:pPr>
      <w:r>
        <w:t xml:space="preserve"/>
      </w:r>
    </w:p>
    <w:p>
      <w:pPr>
        <w:spacing w:after="60" w:before="60"/>
      </w:pPr>
      <w:r>
        <w:rPr>
          <w:rFonts w:ascii="Arial" w:cs="Arial" w:eastAsia="Arial" w:hAnsi="Arial"/>
          <w:color w:val="000000"/>
          <w:sz w:val="22"/>
          <w:szCs w:val="22"/>
        </w:rPr>
        <w:t xml:space="preserve">The convergence of IT and OT environments — while operationally beneficial — has expanded TANGEDCO's attack surface significantly. The risk of an adversary pivoting from a phishing-compromised corporate workstation to the SCADA network is assessed as high probability with catastrophic impact.</w:t>
      </w:r>
    </w:p>
    <w:p>
      <w:pPr>
        <w:spacing w:after="0" w:before="0"/>
      </w:pPr>
      <w:r>
        <w:t xml:space="preserve"/>
      </w:r>
    </w:p>
    <w:p>
      <w:pPr>
        <w:spacing w:after="60" w:before="60"/>
      </w:pPr>
      <w:r>
        <w:rPr>
          <w:rFonts w:ascii="Arial" w:cs="Arial" w:eastAsia="Arial" w:hAnsi="Arial"/>
          <w:color w:val="000000"/>
          <w:sz w:val="22"/>
          <w:szCs w:val="22"/>
        </w:rPr>
        <w:t xml:space="preserve">Immediate actions — MFA deployment, network segmentation, and OT intrusion detection — are achievable within 30–90 days and will materially reduce TANGEDCO's most critical risk exposure. The medium- and long-term recommendations, including PAM implementation, OT patch management, and ISO 27001:2022 certification, form the foundation of a mature, sustainable cybersecurity programme appropriate for a critical infrastructure operator.</w:t>
      </w:r>
    </w:p>
    <w:p>
      <w:pPr>
        <w:spacing w:after="0" w:before="0"/>
      </w:pPr>
      <w:r>
        <w:t xml:space="preserve"/>
      </w:r>
    </w:p>
    <w:p>
      <w:pPr>
        <w:spacing w:after="60" w:before="60"/>
      </w:pPr>
      <w:r>
        <w:rPr>
          <w:rFonts w:ascii="Arial" w:cs="Arial" w:eastAsia="Arial" w:hAnsi="Arial"/>
          <w:color w:val="000000"/>
          <w:sz w:val="22"/>
          <w:szCs w:val="22"/>
        </w:rPr>
        <w:t xml:space="preserve">TANGEDCO's leadership is encouraged to treat cybersecurity investment not as a cost centre but as operational risk management — an essential discipline to ensure the continuity, reliability, and trustworthiness of the electricity supply that Tamil Nadu depends upon.</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Appendix A: Reference Standards and Regulations</w:t>
      </w:r>
    </w:p>
    <w:p>
      <w:pPr>
        <w:pStyle w:val="ListParagraph"/>
        <w:numPr>
          <w:ilvl w:val="0"/>
          <w:numId w:val="2"/>
        </w:numPr>
        <w:spacing w:after="40" w:before="40"/>
      </w:pPr>
      <w:r>
        <w:rPr>
          <w:rFonts w:ascii="Arial" w:cs="Arial" w:eastAsia="Arial" w:hAnsi="Arial"/>
          <w:sz w:val="22"/>
          <w:szCs w:val="22"/>
        </w:rPr>
        <w:t xml:space="preserve">ISO/IEC 27001:2022 — Information Security Management Systems</w:t>
      </w:r>
    </w:p>
    <w:p>
      <w:pPr>
        <w:pStyle w:val="ListParagraph"/>
        <w:numPr>
          <w:ilvl w:val="0"/>
          <w:numId w:val="2"/>
        </w:numPr>
        <w:spacing w:after="40" w:before="40"/>
      </w:pPr>
      <w:r>
        <w:rPr>
          <w:rFonts w:ascii="Arial" w:cs="Arial" w:eastAsia="Arial" w:hAnsi="Arial"/>
          <w:sz w:val="22"/>
          <w:szCs w:val="22"/>
        </w:rPr>
        <w:t xml:space="preserve">IEC 62443-2-1 / 3-3 — Security for Industrial Automation and Control Systems</w:t>
      </w:r>
    </w:p>
    <w:p>
      <w:pPr>
        <w:pStyle w:val="ListParagraph"/>
        <w:numPr>
          <w:ilvl w:val="0"/>
          <w:numId w:val="2"/>
        </w:numPr>
        <w:spacing w:after="40" w:before="40"/>
      </w:pPr>
      <w:r>
        <w:rPr>
          <w:rFonts w:ascii="Arial" w:cs="Arial" w:eastAsia="Arial" w:hAnsi="Arial"/>
          <w:sz w:val="22"/>
          <w:szCs w:val="22"/>
        </w:rPr>
        <w:t xml:space="preserve">NIST SP 800-82 Rev. 3 — Guide to Operational Technology (OT) Security</w:t>
      </w:r>
    </w:p>
    <w:p>
      <w:pPr>
        <w:pStyle w:val="ListParagraph"/>
        <w:numPr>
          <w:ilvl w:val="0"/>
          <w:numId w:val="2"/>
        </w:numPr>
        <w:spacing w:after="40" w:before="40"/>
      </w:pPr>
      <w:r>
        <w:rPr>
          <w:rFonts w:ascii="Arial" w:cs="Arial" w:eastAsia="Arial" w:hAnsi="Arial"/>
          <w:sz w:val="22"/>
          <w:szCs w:val="22"/>
        </w:rPr>
        <w:t xml:space="preserve">NIST Cybersecurity Framework (CSF) 2.0</w:t>
      </w:r>
    </w:p>
    <w:p>
      <w:pPr>
        <w:pStyle w:val="ListParagraph"/>
        <w:numPr>
          <w:ilvl w:val="0"/>
          <w:numId w:val="2"/>
        </w:numPr>
        <w:spacing w:after="40" w:before="40"/>
      </w:pPr>
      <w:r>
        <w:rPr>
          <w:rFonts w:ascii="Arial" w:cs="Arial" w:eastAsia="Arial" w:hAnsi="Arial"/>
          <w:sz w:val="22"/>
          <w:szCs w:val="22"/>
        </w:rPr>
        <w:t xml:space="preserve">CEA Cyber Security Guidelines for Power Sector (2021, amended 2023)</w:t>
      </w:r>
    </w:p>
    <w:p>
      <w:pPr>
        <w:pStyle w:val="ListParagraph"/>
        <w:numPr>
          <w:ilvl w:val="0"/>
          <w:numId w:val="2"/>
        </w:numPr>
        <w:spacing w:after="40" w:before="40"/>
      </w:pPr>
      <w:r>
        <w:rPr>
          <w:rFonts w:ascii="Arial" w:cs="Arial" w:eastAsia="Arial" w:hAnsi="Arial"/>
          <w:sz w:val="22"/>
          <w:szCs w:val="22"/>
        </w:rPr>
        <w:t xml:space="preserve">CERT-In Directions under Section 70B of the IT Act (April 2022)</w:t>
      </w:r>
    </w:p>
    <w:p>
      <w:pPr>
        <w:pStyle w:val="ListParagraph"/>
        <w:numPr>
          <w:ilvl w:val="0"/>
          <w:numId w:val="2"/>
        </w:numPr>
        <w:spacing w:after="40" w:before="40"/>
      </w:pPr>
      <w:r>
        <w:rPr>
          <w:rFonts w:ascii="Arial" w:cs="Arial" w:eastAsia="Arial" w:hAnsi="Arial"/>
          <w:sz w:val="22"/>
          <w:szCs w:val="22"/>
        </w:rPr>
        <w:t xml:space="preserve">Digital Personal Data Protection Act (DPDPA), 2023</w:t>
      </w:r>
    </w:p>
    <w:p>
      <w:pPr>
        <w:pStyle w:val="ListParagraph"/>
        <w:numPr>
          <w:ilvl w:val="0"/>
          <w:numId w:val="2"/>
        </w:numPr>
        <w:spacing w:after="40" w:before="40"/>
      </w:pPr>
      <w:r>
        <w:rPr>
          <w:rFonts w:ascii="Arial" w:cs="Arial" w:eastAsia="Arial" w:hAnsi="Arial"/>
          <w:sz w:val="22"/>
          <w:szCs w:val="22"/>
        </w:rPr>
        <w:t xml:space="preserve">Ministry of Power — Information Security Policy for Power Sector (2016)</w:t>
      </w:r>
    </w:p>
    <w:p>
      <w:pPr>
        <w:pStyle w:val="ListParagraph"/>
        <w:numPr>
          <w:ilvl w:val="0"/>
          <w:numId w:val="2"/>
        </w:numPr>
        <w:spacing w:after="40" w:before="40"/>
      </w:pPr>
      <w:r>
        <w:rPr>
          <w:rFonts w:ascii="Arial" w:cs="Arial" w:eastAsia="Arial" w:hAnsi="Arial"/>
          <w:sz w:val="22"/>
          <w:szCs w:val="22"/>
        </w:rPr>
        <w:t xml:space="preserve">ICS-CERT / CISA Industrial Control Systems Advisories</w:t>
      </w:r>
    </w:p>
    <w:p>
      <w:pPr>
        <w:spacing w:after="0" w:before="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APT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Advanced Persistent Threat — a sophisticated, long-term cyberattack typically conducted by nation-state actors.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Central Electricity Authority — the statutory body regulating the Indian power sector.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DMZ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Demilitarised Zone — a network segment that separates trusted internal networks from untrusted external networks.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Energy Management System — software for monitoring, controlling, and optimising power system performance.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ISMS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Information Security Management System — a systematic approach to managing sensitive information per ISO/IEC 27001.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Operational Technology — hardware and software that monitors/controls physical devices, processes, and infrastructure.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Privileged Access Management — tools and processes to manage and monitor privileged account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PLC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Programmable Logic Controller — an industrial computer used to automate electromechanical processes.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RTU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Remote Terminal Unit — a device that interfaces physical objects to a SCADA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SCADA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Supervisory Control and Data Acquisition — systems for remote monitoring and control of industrial infrastructure.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TPRM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Third-Party Risk Management — the process of identifying and managing risks from vendor/supplier relationships.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jc w:val="center"/>
    </w:pPr>
    <w:r>
      <w:rPr>
        <w:rFonts w:ascii="Arial" w:cs="Arial" w:eastAsia="Arial" w:hAnsi="Arial"/>
        <w:color w:val="555555"/>
        <w:sz w:val="18"/>
        <w:szCs w:val="18"/>
      </w:rPr>
      <w:t xml:space="preserve">© 2025 TANGEDCO Information Security Division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60"/>
    </w:pPr>
    <w:r>
      <w:rPr>
        <w:rFonts w:ascii="Arial" w:cs="Arial" w:eastAsia="Arial" w:hAnsi="Arial"/>
        <w:color w:val="555555"/>
        <w:sz w:val="18"/>
        <w:szCs w:val="18"/>
      </w:rPr>
      <w:t xml:space="preserve">TANGEDCO – Cybersecurity Risk Assessment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2026-05-01T07:10:03.024Z</dcterms:created>
  <dcterms:modified xsi:type="dcterms:W3CDTF">2026-05-01T07:10:03.046Z</dcterms:modified>
</cp:coreProperties>
</file>

<file path=docProps/custom.xml><?xml version="1.0" encoding="utf-8"?>
<Properties xmlns="http://schemas.openxmlformats.org/officeDocument/2006/custom-properties" xmlns:vt="http://schemas.openxmlformats.org/officeDocument/2006/docPropsVTypes"/>
</file>