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36"/>
        </w:rPr>
        <w:t>Resilient Multi-Cloud Disaster Recovery and Automated Continuous Deployment for Mission-Critical Medical Screening Microservices</w:t>
      </w:r>
    </w:p>
    <w:p>
      <w:pPr>
        <w:spacing w:after="40"/>
        <w:jc w:val="center"/>
      </w:pPr>
      <w:r>
        <w:rPr>
          <w:rFonts w:ascii="Times New Roman" w:hAnsi="Times New Roman"/>
          <w:b/>
          <w:sz w:val="20"/>
        </w:rPr>
        <w:t>Author Team: Cloud Infrastructure &amp; DevOps Systems Group</w:t>
      </w:r>
    </w:p>
    <w:p>
      <w:pPr>
        <w:spacing w:after="240"/>
        <w:jc w:val="center"/>
      </w:pPr>
      <w:r>
        <w:rPr>
          <w:rFonts w:ascii="Times New Roman" w:hAnsi="Times New Roman"/>
          <w:i/>
          <w:sz w:val="18"/>
        </w:rPr>
        <w:t>Distributed Systems &amp; Cloud Engineering Laboratory, Department of Computer Science &amp; Engineering, 2026</w:t>
      </w:r>
    </w:p>
    <w:p>
      <w:pPr>
        <w:spacing w:after="80" w:line="276" w:lineRule="auto"/>
        <w:jc w:val="both"/>
      </w:pPr>
      <w:r>
        <w:rPr>
          <w:rFonts w:ascii="Times New Roman" w:hAnsi="Times New Roman"/>
          <w:b/>
          <w:sz w:val="19"/>
        </w:rPr>
        <w:t xml:space="preserve">Abstract— </w:t>
      </w:r>
      <w:r>
        <w:rPr>
          <w:rFonts w:ascii="Times New Roman" w:hAnsi="Times New Roman"/>
          <w:i/>
          <w:sz w:val="19"/>
        </w:rPr>
        <w:t>Mission-critical clinical artificial intelligence services demand rigorous continuous availability, robust data sovereignty, and rapid disaster recovery (DR) capabilities to guarantee patient safety and comply with stringent healthcare data protection regulations (e.g., HIPAA, GDPR). Relying on a single public cloud provider introduces severe single-point-of-failure vulnerabilities stemming from regional outages, localized network partitions, and vendor lock-in. In this investigation, we design, implement, and empirically validate a resilient, active-passive multi-cloud disaster recovery framework deployed across Amazon Web Services (AWS us-east-1) as the active primary and Microsoft Azure (East US) as the warm secondary standby. The system encapsulates a containerized medical screening inference service (FastAPI) behind an automated reverse proxy and traffic management layer. Global service resilience is enforced through Amazon Route 53 DNS failover routing configured with a 10-second Time-to-Live (TTL) and automated health probe monitoring. To maintain cross-cloud consistency across disparate database engines and object storage, we develop a dual-engine asynchronous data replicator that continuously synchronizes relational PostgreSQL records and object storage images (Amazon S3 to Azure Blob Storage) with conflict-free last-write-wins semantics. The entire multi-cloud topology is declared as reproducible Infrastructure-as-Code (IaC) using modular HashiCorp Terraform and automated via an end-to-end GitHub Actions Continuous Integration and Continuous Deployment (CI/CD) pipeline with canary health validations and automated rollback triggers. Through empirical chaos engineering failure drills (simulated web crash, primary database termination, and regional network partition), the proposed architecture achieved an average Recovery Time Objective (RTO) of 42.4 seconds and a Recovery Point Objective (RPO) of 14.8 seconds, comfortably satisfying clinical Service Level Agreements (SLAs). Finally, a total cost of ownership (TCO) analysis demonstrates a 62% expenditure reduction compared to active-active multi-cloud topologies, establishing a cost-effective, production-ready paradigm for clinical AI services.</w:t>
      </w:r>
    </w:p>
    <w:p>
      <w:pPr>
        <w:spacing w:after="280"/>
        <w:jc w:val="both"/>
      </w:pPr>
      <w:r>
        <w:rPr>
          <w:rFonts w:ascii="Times New Roman" w:hAnsi="Times New Roman"/>
          <w:b/>
          <w:sz w:val="19"/>
        </w:rPr>
        <w:t xml:space="preserve">Index Terms— </w:t>
      </w:r>
      <w:r>
        <w:rPr>
          <w:rFonts w:ascii="Times New Roman" w:hAnsi="Times New Roman"/>
          <w:sz w:val="19"/>
        </w:rPr>
        <w:t>Multi-Cloud Architecture, Disaster Recovery, Infrastructure-as-Code, Terraform, Docker, DevOps, High Availability, RTO / RPO, CI/CD Pipeline.</w:t>
      </w:r>
    </w:p>
    <w:p>
      <w:pPr>
        <w:sectPr>
          <w:pgSz w:w="12240" w:h="15840"/>
          <w:pgMar w:top="1080" w:right="1080" w:bottom="1080" w:left="1080" w:header="720" w:footer="720" w:gutter="0"/>
          <w:cols w:space="720"/>
          <w:docGrid w:linePitch="360"/>
        </w:sectPr>
      </w:pPr>
    </w:p>
    <w:p>
      <w:pPr>
        <w:spacing w:before="220" w:after="60"/>
        <w:jc w:val="center"/>
      </w:pPr>
      <w:r>
        <w:rPr>
          <w:rFonts w:ascii="Times New Roman" w:hAnsi="Times New Roman"/>
          <w:b/>
          <w:sz w:val="20"/>
        </w:rPr>
        <w:t>I. INTRODUCTION</w:t>
      </w:r>
    </w:p>
    <w:p>
      <w:pPr>
        <w:spacing w:before="0" w:after="60" w:line="252" w:lineRule="auto"/>
        <w:jc w:val="both"/>
      </w:pPr>
      <w:r>
        <w:rPr>
          <w:rFonts w:ascii="Times New Roman" w:hAnsi="Times New Roman"/>
          <w:sz w:val="19"/>
        </w:rPr>
        <w:t>The deployment of Machine Learning (ML) inference engines in clinical healthcare settings has shifted AI from academic experimentation to operational life-critical infrastructure [1]. Medical screening services—such as the FLD-Screen platform for non-invasive Fatty Liver Disease detection—process high-throughput clinical requests, ingest medical imagery, and deliver real-time diagnostic risk assessments [2]. In such environments, unplanned system downtime can delay urgent medical interventions, disrupt hospital workflows, and jeopardize clinical outcomes.</w:t>
      </w:r>
    </w:p>
    <w:p>
      <w:pPr>
        <w:spacing w:before="0" w:after="60" w:line="252" w:lineRule="auto"/>
        <w:jc w:val="both"/>
      </w:pPr>
      <w:r>
        <w:rPr>
          <w:rFonts w:ascii="Times New Roman" w:hAnsi="Times New Roman"/>
          <w:sz w:val="19"/>
        </w:rPr>
        <w:t>Historically, cloud-native healthcare applications have been deployed within a single commercial cloud service provider (CSP). However, recent high-profile outages across major providers—ranging from widespread DNS resolution failures and BGP routing corruptions to power grid failures and cooling disruptions in major regional zones—demonstrate that single-cloud hosting represents a dangerous single point of failure [3]. Furthermore, single-cloud lock-in exposes healthcare institutions to unexpected pricing escalations, rigid API deprecations, and regulatory compliance challenges regarding cross-border data sovereignty [4].</w:t>
      </w:r>
    </w:p>
    <w:p>
      <w:pPr>
        <w:spacing w:before="0" w:after="60" w:line="252" w:lineRule="auto"/>
        <w:jc w:val="both"/>
      </w:pPr>
      <w:r>
        <w:rPr>
          <w:rFonts w:ascii="Times New Roman" w:hAnsi="Times New Roman"/>
          <w:sz w:val="19"/>
        </w:rPr>
        <w:t>Multi-cloud architectures offer an appealing path to resilience by distributing mission-critical workloads across heterogeneous cloud ecosystems [5]. However, engineering a production-grade multi-cloud disaster recovery system for stateful medical applications introduces profound technical hurdles: (1) managing data consistency across heterogeneous storage APIs (e.g., AWS S3 vs Azure Blob) and managed database engines, (2) orchestrating automated DNS-level failover without inducing split-brain states, (3) standardizing reproducible infrastructure across disparate provider APIs, and (4) controlling egress network bandwidth expenditures [6].</w:t>
      </w:r>
    </w:p>
    <w:p>
      <w:pPr>
        <w:spacing w:before="0" w:after="60" w:line="252" w:lineRule="auto"/>
        <w:jc w:val="both"/>
      </w:pPr>
      <w:r>
        <w:rPr>
          <w:rFonts w:ascii="Times New Roman" w:hAnsi="Times New Roman"/>
          <w:sz w:val="19"/>
        </w:rPr>
        <w:t>To address these operational challenges, this paper presents the design, implementation, and empirical verification of an enterprise-grade active-passive multi-cloud disaster recovery architecture. Specifically, our primary contributions include:</w:t>
      </w:r>
    </w:p>
    <w:p>
      <w:pPr>
        <w:spacing w:before="0" w:after="60" w:line="252" w:lineRule="auto"/>
        <w:jc w:val="both"/>
      </w:pPr>
      <w:r>
        <w:rPr>
          <w:rFonts w:ascii="Times New Roman" w:hAnsi="Times New Roman"/>
          <w:sz w:val="19"/>
        </w:rPr>
        <w:t>1) Multi-Cloud Architecture: We architect an active-passive disaster recovery framework spanning AWS (us-east-1) and Microsoft Azure (East US), incorporating containerized microservices, reverse proxies, and managed persistence tiers.</w:t>
      </w:r>
    </w:p>
    <w:p>
      <w:pPr>
        <w:spacing w:before="0" w:after="60" w:line="252" w:lineRule="auto"/>
        <w:jc w:val="both"/>
      </w:pPr>
      <w:r>
        <w:rPr>
          <w:rFonts w:ascii="Times New Roman" w:hAnsi="Times New Roman"/>
          <w:sz w:val="19"/>
        </w:rPr>
        <w:t>2) Automated DNS Health Probing: We implement an automated Route 53 health check and failover routing state machine that detects primary unavailability and re-routes global traffic within seconds.</w:t>
      </w:r>
    </w:p>
    <w:p>
      <w:pPr>
        <w:spacing w:before="0" w:after="60" w:line="252" w:lineRule="auto"/>
        <w:jc w:val="both"/>
      </w:pPr>
      <w:r>
        <w:rPr>
          <w:rFonts w:ascii="Times New Roman" w:hAnsi="Times New Roman"/>
          <w:sz w:val="19"/>
        </w:rPr>
        <w:t>3) Cross-Cloud Asynchronous Data Replication: We engineer a dedicated synchronization daemon guaranteeing sub-15-second Recovery Point Objectives (RPO) across relational PostgreSQL databases and object storage.</w:t>
      </w:r>
    </w:p>
    <w:p>
      <w:pPr>
        <w:spacing w:before="0" w:after="60" w:line="252" w:lineRule="auto"/>
        <w:jc w:val="both"/>
      </w:pPr>
      <w:r>
        <w:rPr>
          <w:rFonts w:ascii="Times New Roman" w:hAnsi="Times New Roman"/>
          <w:sz w:val="19"/>
        </w:rPr>
        <w:t>4) Declarative IaC and CI/CD Automation: We provide complete HashiCorp Terraform modules and GitHub Actions continuous deployment workflows with canary rollbacks and SHA image tagging.</w:t>
      </w:r>
    </w:p>
    <w:p>
      <w:pPr>
        <w:spacing w:before="0" w:after="60" w:line="252" w:lineRule="auto"/>
        <w:jc w:val="both"/>
      </w:pPr>
      <w:r>
        <w:rPr>
          <w:rFonts w:ascii="Times New Roman" w:hAnsi="Times New Roman"/>
          <w:sz w:val="19"/>
        </w:rPr>
        <w:t>5) Empirical Chaos Engineering Drills: We validate disaster recovery metrics (RTO, RPO) through systematic chaos drills and present a detailed TCO financial analysis.</w:t>
      </w:r>
    </w:p>
    <w:p>
      <w:pPr>
        <w:spacing w:before="220" w:after="60"/>
        <w:jc w:val="center"/>
      </w:pPr>
      <w:r>
        <w:rPr>
          <w:rFonts w:ascii="Times New Roman" w:hAnsi="Times New Roman"/>
          <w:b/>
          <w:sz w:val="20"/>
        </w:rPr>
        <w:t>II. RELATED WORK &amp; DISASTER RECOVERY PARADIGMS</w:t>
      </w:r>
    </w:p>
    <w:p>
      <w:pPr>
        <w:spacing w:before="0" w:after="60" w:line="252" w:lineRule="auto"/>
        <w:jc w:val="both"/>
      </w:pPr>
      <w:r>
        <w:rPr>
          <w:rFonts w:ascii="Times New Roman" w:hAnsi="Times New Roman"/>
          <w:sz w:val="19"/>
        </w:rPr>
        <w:t>Disaster recovery in distributed cloud systems is characterized by two fundamental Service Level Agreement (SLA) parameters: Recovery Time Objective (RTO)—the maximum acceptable duration of system unavailability following an outage; and Recovery Point Objective (RPO)—the maximum acceptable age of data lost due to replication lag during a disaster event [7].</w:t>
      </w:r>
    </w:p>
    <w:p>
      <w:pPr>
        <w:spacing w:before="0" w:after="60" w:line="252" w:lineRule="auto"/>
        <w:jc w:val="both"/>
      </w:pPr>
      <w:r>
        <w:rPr>
          <w:rFonts w:ascii="Times New Roman" w:hAnsi="Times New Roman"/>
          <w:sz w:val="19"/>
        </w:rPr>
        <w:t>Industry architectures typically fall into four categories: (1) Backup and Restore (RTO/RPO in hours, minimal cost), (2) Pilot Light (core data synchronized, compute launched on-demand; RTO in tens of minutes), (3) Warm Standby (scaled-down replica running continuously; RTO in minutes), and (4) Active-Active Multi-Region/Multi-Cloud (instantaneous failover, but enormous cost and complex cross-region distributed consensus protocols like Raft or Paxos) [8], [9].</w:t>
      </w:r>
    </w:p>
    <w:p>
      <w:pPr>
        <w:spacing w:before="0" w:after="60" w:line="252" w:lineRule="auto"/>
        <w:jc w:val="both"/>
      </w:pPr>
      <w:r>
        <w:rPr>
          <w:rFonts w:ascii="Times New Roman" w:hAnsi="Times New Roman"/>
          <w:sz w:val="19"/>
        </w:rPr>
        <w:t>In healthcare systems, active-active multi-cloud setups frequently induce database write conflicts and exorbitant inter-cloud egress fees [10]. Consequently, an active-passive warm standby paradigm represents the optimal balance of resilience, consistency, and economic viability. Prior works have explored DNS-based failover; however, empirical benchmarks measuring end-to-end RTO/RPO across live multi-cloud environments remain scarce in academic literature [11]. Our work provides concrete empirical evidence and reproducible open-source implementations.</w:t>
      </w:r>
    </w:p>
    <w:p>
      <w:pPr>
        <w:spacing w:before="220" w:after="60"/>
        <w:jc w:val="center"/>
      </w:pPr>
      <w:r>
        <w:rPr>
          <w:rFonts w:ascii="Times New Roman" w:hAnsi="Times New Roman"/>
          <w:b/>
          <w:sz w:val="20"/>
        </w:rPr>
        <w:t>III. MULTI-CLOUD SYSTEM ARCHITECTURE</w:t>
      </w:r>
    </w:p>
    <w:p>
      <w:pPr>
        <w:spacing w:before="0" w:after="60" w:line="252" w:lineRule="auto"/>
        <w:jc w:val="both"/>
      </w:pPr>
      <w:r>
        <w:rPr>
          <w:rFonts w:ascii="Times New Roman" w:hAnsi="Times New Roman"/>
          <w:sz w:val="19"/>
        </w:rPr>
        <w:t>The overall architectural topology of the FLD-Screen multi-cloud platform is illustrated in Fig. 1. The architecture separates the control plane, ingress layer, compute microservices, persistence tier, and cross-cloud replication channels.</w:t>
      </w:r>
    </w:p>
    <w:p>
      <w:pPr>
        <w:spacing w:before="120" w:after="40"/>
        <w:jc w:val="center"/>
      </w:pPr>
      <w:r>
        <w:drawing>
          <wp:inline xmlns:a="http://schemas.openxmlformats.org/drawingml/2006/main" xmlns:pic="http://schemas.openxmlformats.org/drawingml/2006/picture">
            <wp:extent cx="3017520" cy="1771755"/>
            <wp:docPr id="1" name="Picture 1"/>
            <wp:cNvGraphicFramePr>
              <a:graphicFrameLocks noChangeAspect="1"/>
            </wp:cNvGraphicFramePr>
            <a:graphic>
              <a:graphicData uri="http://schemas.openxmlformats.org/drawingml/2006/picture">
                <pic:pic>
                  <pic:nvPicPr>
                    <pic:cNvPr id="0" name="ccdl_architecture_diagram.png"/>
                    <pic:cNvPicPr/>
                  </pic:nvPicPr>
                  <pic:blipFill>
                    <a:blip r:embed="rId9"/>
                    <a:stretch>
                      <a:fillRect/>
                    </a:stretch>
                  </pic:blipFill>
                  <pic:spPr>
                    <a:xfrm>
                      <a:off x="0" y="0"/>
                      <a:ext cx="3017520" cy="1771755"/>
                    </a:xfrm>
                    <a:prstGeom prst="rect"/>
                  </pic:spPr>
                </pic:pic>
              </a:graphicData>
            </a:graphic>
          </wp:inline>
        </w:drawing>
      </w:r>
    </w:p>
    <w:p>
      <w:pPr>
        <w:spacing w:before="40" w:after="140"/>
        <w:jc w:val="center"/>
      </w:pPr>
      <w:r>
        <w:rPr>
          <w:rFonts w:ascii="Times New Roman" w:hAnsi="Times New Roman"/>
          <w:b/>
          <w:sz w:val="16"/>
        </w:rPr>
        <w:t>Fig. 1. Architectural schematic of the proposed Active-Passive Multi-Cloud Disaster Recovery platform across AWS and Azure.</w:t>
      </w:r>
    </w:p>
    <w:p>
      <w:pPr>
        <w:spacing w:before="140" w:after="40"/>
        <w:jc w:val="left"/>
      </w:pPr>
      <w:r>
        <w:rPr>
          <w:rFonts w:ascii="Times New Roman" w:hAnsi="Times New Roman"/>
          <w:b/>
          <w:i/>
          <w:sz w:val="19"/>
        </w:rPr>
        <w:t>A. Primary Cloud Infrastructure (AWS us-east-1)</w:t>
      </w:r>
    </w:p>
    <w:p>
      <w:pPr>
        <w:spacing w:before="0" w:after="60" w:line="252" w:lineRule="auto"/>
        <w:jc w:val="both"/>
      </w:pPr>
      <w:r>
        <w:rPr>
          <w:rFonts w:ascii="Times New Roman" w:hAnsi="Times New Roman"/>
          <w:sz w:val="19"/>
        </w:rPr>
        <w:t>The primary active cluster is provisioned within the AWS Northern Virginia (us-east-1) region:</w:t>
        <w:br/>
        <w:t>1) Ingress &amp; TLS Termination: A Caddy reverse proxy receives incoming HTTPS requests, terminates TLS using automated Let's Encrypt certificates, and injects an 'X-Served-By: aws' tracking header into HTTP responses.</w:t>
        <w:br/>
        <w:t>2) Application Compute: The FastAPI prediction microservice runs inside an isolated Docker container on an EC2 instance. The container mounts the pre-trained machine learning stacking ensemble and executes inference in &lt; 25 ms.</w:t>
        <w:br/>
        <w:t>3) Persistence: Relational metadata (patient demographics, risk scores, diagnostic timestamps) is persisted in Amazon RDS PostgreSQL configured with Multi-AZ automated backups. Uncompressed tongue photographs are stored in an Amazon S3 bucket with server-side AES-256 encryption.</w:t>
      </w:r>
    </w:p>
    <w:p>
      <w:pPr>
        <w:spacing w:before="140" w:after="40"/>
        <w:jc w:val="left"/>
      </w:pPr>
      <w:r>
        <w:rPr>
          <w:rFonts w:ascii="Times New Roman" w:hAnsi="Times New Roman"/>
          <w:b/>
          <w:i/>
          <w:sz w:val="19"/>
        </w:rPr>
        <w:t>B. Secondary Standby Cloud Infrastructure (Azure East US)</w:t>
      </w:r>
    </w:p>
    <w:p>
      <w:pPr>
        <w:spacing w:before="0" w:after="60" w:line="252" w:lineRule="auto"/>
        <w:jc w:val="both"/>
      </w:pPr>
      <w:r>
        <w:rPr>
          <w:rFonts w:ascii="Times New Roman" w:hAnsi="Times New Roman"/>
          <w:sz w:val="19"/>
        </w:rPr>
        <w:t>The secondary DR site is hosted in Microsoft Azure's East US region, maintaining an identical software stack in standby mode:</w:t>
        <w:br/>
        <w:t>1) Standby Ingress: A secondary Caddy reverse proxy injects 'X-Served-By: azure' headers.</w:t>
        <w:br/>
        <w:t>2) Standby Compute: A mirror FastAPI Docker container runs on an Azure Virtual Machine, pre-configured with identical environment variables and model artifacts.</w:t>
        <w:br/>
        <w:t>3) DR Storage: Relational records reside in Azure Database for PostgreSQL Flexible Server, and patient images are stored in Azure Blob Storage (Locally Redundant Storage - LRS).</w:t>
      </w:r>
    </w:p>
    <w:p>
      <w:pPr>
        <w:spacing w:before="140" w:after="40"/>
        <w:jc w:val="left"/>
      </w:pPr>
      <w:r>
        <w:rPr>
          <w:rFonts w:ascii="Times New Roman" w:hAnsi="Times New Roman"/>
          <w:b/>
          <w:i/>
          <w:sz w:val="19"/>
        </w:rPr>
        <w:t>C. Global DNS Routing &amp; Automated Health Monitoring</w:t>
      </w:r>
    </w:p>
    <w:p>
      <w:pPr>
        <w:spacing w:before="0" w:after="60" w:line="252" w:lineRule="auto"/>
        <w:jc w:val="both"/>
      </w:pPr>
      <w:r>
        <w:rPr>
          <w:rFonts w:ascii="Times New Roman" w:hAnsi="Times New Roman"/>
          <w:sz w:val="19"/>
        </w:rPr>
        <w:t>Global client routing is orchestrated via Amazon Route 53 using a DNS Failover Routing Policy (Fig. 2). Route 53 continuously interrogates the primary endpoint's health probe (/healthz) every 10 seconds. The health check evaluates HTTP status codes, application responsiveness, and database connectivity.</w:t>
      </w:r>
    </w:p>
    <w:p>
      <w:pPr>
        <w:spacing w:before="120" w:after="40"/>
        <w:jc w:val="center"/>
      </w:pPr>
      <w:r>
        <w:drawing>
          <wp:inline xmlns:a="http://schemas.openxmlformats.org/drawingml/2006/main" xmlns:pic="http://schemas.openxmlformats.org/drawingml/2006/picture">
            <wp:extent cx="3017520" cy="1493520"/>
            <wp:docPr id="2" name="Picture 2"/>
            <wp:cNvGraphicFramePr>
              <a:graphicFrameLocks noChangeAspect="1"/>
            </wp:cNvGraphicFramePr>
            <a:graphic>
              <a:graphicData uri="http://schemas.openxmlformats.org/drawingml/2006/picture">
                <pic:pic>
                  <pic:nvPicPr>
                    <pic:cNvPr id="0" name="route53_failover_flowchart.png"/>
                    <pic:cNvPicPr/>
                  </pic:nvPicPr>
                  <pic:blipFill>
                    <a:blip r:embed="rId10"/>
                    <a:stretch>
                      <a:fillRect/>
                    </a:stretch>
                  </pic:blipFill>
                  <pic:spPr>
                    <a:xfrm>
                      <a:off x="0" y="0"/>
                      <a:ext cx="3017520" cy="1493520"/>
                    </a:xfrm>
                    <a:prstGeom prst="rect"/>
                  </pic:spPr>
                </pic:pic>
              </a:graphicData>
            </a:graphic>
          </wp:inline>
        </w:drawing>
      </w:r>
    </w:p>
    <w:p>
      <w:pPr>
        <w:spacing w:before="40" w:after="140"/>
        <w:jc w:val="center"/>
      </w:pPr>
      <w:r>
        <w:rPr>
          <w:rFonts w:ascii="Times New Roman" w:hAnsi="Times New Roman"/>
          <w:b/>
          <w:sz w:val="16"/>
        </w:rPr>
        <w:t>Fig. 2. Automated Route 53 health probe state machine and failover execution sequence.</w:t>
      </w:r>
    </w:p>
    <w:p>
      <w:pPr>
        <w:spacing w:before="0" w:after="60" w:line="252" w:lineRule="auto"/>
        <w:jc w:val="both"/>
      </w:pPr>
      <w:r>
        <w:rPr>
          <w:rFonts w:ascii="Times New Roman" w:hAnsi="Times New Roman"/>
          <w:sz w:val="19"/>
        </w:rPr>
        <w:t>Failover Logic: If the primary probe fails 3 consecutive times (failure threshold = 30 seconds), Route 53 marks the primary record as UNHEALTHY. Route 53 immediately flips the DNS CNAME resolution to point to the secondary Azure public IP, while triggering an automated Amazon SNS alert to the operations team. The DNS Time-to-Live (TTL) is constrained to 10 seconds to enforce rapid client cache invalidation. Upon primary recovery (3 consecutive successful probes), Route 53 automatically restores primary routing.</w:t>
      </w:r>
    </w:p>
    <w:p>
      <w:pPr>
        <w:spacing w:before="220" w:after="60"/>
        <w:jc w:val="center"/>
      </w:pPr>
      <w:r>
        <w:rPr>
          <w:rFonts w:ascii="Times New Roman" w:hAnsi="Times New Roman"/>
          <w:b/>
          <w:sz w:val="20"/>
        </w:rPr>
        <w:t>IV. CROSS-CLOUD ASYNCHRONOUS DATA REPLICATION ENGINE</w:t>
      </w:r>
    </w:p>
    <w:p>
      <w:pPr>
        <w:spacing w:before="0" w:after="60" w:line="252" w:lineRule="auto"/>
        <w:jc w:val="both"/>
      </w:pPr>
      <w:r>
        <w:rPr>
          <w:rFonts w:ascii="Times New Roman" w:hAnsi="Times New Roman"/>
          <w:sz w:val="19"/>
        </w:rPr>
        <w:t>To maintain data consistency between AWS and Azure without incurring synchronous distributed transaction latencies, we implemented a dedicated asynchronous replication daemon (app/replicator/replicate.py). The replicator operates in two decoupled synchronization loops:</w:t>
      </w:r>
    </w:p>
    <w:p>
      <w:pPr>
        <w:spacing w:before="0" w:after="60" w:line="252" w:lineRule="auto"/>
        <w:jc w:val="both"/>
      </w:pPr>
      <w:r>
        <w:rPr>
          <w:rFonts w:ascii="Times New Roman" w:hAnsi="Times New Roman"/>
          <w:sz w:val="19"/>
        </w:rPr>
        <w:t>1) Relational Database Replication (sync_db): Every 15 seconds, the replicator queries AWS RDS PostgreSQL for all patient examination records with 'updated_at' timestamps newer than the last successful replication watermark. The fetched record batch is transformed and upserted into Azure PostgreSQL using an 'ON CONFLICT (id) DO UPDATE' statement. This guarantees idempotent last-write-wins (LWW) semantics and prevents data corruption.</w:t>
      </w:r>
    </w:p>
    <w:p>
      <w:pPr>
        <w:spacing w:before="0" w:after="60" w:line="252" w:lineRule="auto"/>
        <w:jc w:val="both"/>
      </w:pPr>
      <w:r>
        <w:rPr>
          <w:rFonts w:ascii="Times New Roman" w:hAnsi="Times New Roman"/>
          <w:sz w:val="19"/>
        </w:rPr>
        <w:t>2) Object Storage Replication (sync_storage): The daemon compares object keys and MD5 ETags between the source S3 bucket and the destination Azure Blob container. New or modified patient images are streamed directly from S3 to Blob storage over TLS-encrypted HTTPS connections.</w:t>
      </w:r>
    </w:p>
    <w:p>
      <w:pPr>
        <w:spacing w:before="0" w:after="60" w:line="252" w:lineRule="auto"/>
        <w:jc w:val="both"/>
      </w:pPr>
      <w:r>
        <w:rPr>
          <w:rFonts w:ascii="Times New Roman" w:hAnsi="Times New Roman"/>
          <w:sz w:val="19"/>
        </w:rPr>
        <w:t>Replication Bounding &amp; RPO: By constraining the execution cycle to 15 seconds, the theoretical maximum data loss during a catastrophic unannounced primary datacenter failure is bounded to ≤ 15 seconds, fully satisfying healthcare RPO requirements.</w:t>
      </w:r>
    </w:p>
    <w:p>
      <w:pPr>
        <w:spacing w:before="220" w:after="60"/>
        <w:jc w:val="center"/>
      </w:pPr>
      <w:r>
        <w:rPr>
          <w:rFonts w:ascii="Times New Roman" w:hAnsi="Times New Roman"/>
          <w:b/>
          <w:sz w:val="20"/>
        </w:rPr>
        <w:t>V. AUTOMATED CI/CD &amp; INFRASTRUCTURE AS CODE</w:t>
      </w:r>
    </w:p>
    <w:p>
      <w:pPr>
        <w:spacing w:before="140" w:after="40"/>
        <w:jc w:val="left"/>
      </w:pPr>
      <w:r>
        <w:rPr>
          <w:rFonts w:ascii="Times New Roman" w:hAnsi="Times New Roman"/>
          <w:b/>
          <w:i/>
          <w:sz w:val="19"/>
        </w:rPr>
        <w:t>A. Modular Infrastructure as Code (Terraform)</w:t>
      </w:r>
    </w:p>
    <w:p>
      <w:pPr>
        <w:spacing w:before="0" w:after="60" w:line="252" w:lineRule="auto"/>
        <w:jc w:val="both"/>
      </w:pPr>
      <w:r>
        <w:rPr>
          <w:rFonts w:ascii="Times New Roman" w:hAnsi="Times New Roman"/>
          <w:sz w:val="19"/>
        </w:rPr>
        <w:t>The entire multi-cloud topology is declared in HashiCorp Terraform across three decoupled modules: infra/aws/, infra/azure/, and infra/dns/. This modular design prevents provider cross-contamination. State files are securely managed with state locking. A single 'terraform apply' command completely provisions all Virtual Private Clouds (VPCs), subnets, Internet Gateways, Security Groups, EC2/VM instances, managed databases, and DNS records in under 8 minutes.</w:t>
      </w:r>
    </w:p>
    <w:p>
      <w:pPr>
        <w:spacing w:before="140" w:after="40"/>
        <w:jc w:val="left"/>
      </w:pPr>
      <w:r>
        <w:rPr>
          <w:rFonts w:ascii="Times New Roman" w:hAnsi="Times New Roman"/>
          <w:b/>
          <w:i/>
          <w:sz w:val="19"/>
        </w:rPr>
        <w:t>B. Multi-Stage Docker Containerization</w:t>
      </w:r>
    </w:p>
    <w:p>
      <w:pPr>
        <w:spacing w:before="0" w:after="60" w:line="252" w:lineRule="auto"/>
        <w:jc w:val="both"/>
      </w:pPr>
      <w:r>
        <w:rPr>
          <w:rFonts w:ascii="Times New Roman" w:hAnsi="Times New Roman"/>
          <w:sz w:val="19"/>
        </w:rPr>
        <w:t>The application Dockerfile adopts a multi-stage build pattern. The builder stage installs Python compilation toolchains and dependencies; the final production stage copies only the compiled virtual environment into a slim Debian runtime base. A non-root system user ('appuser', UID 10001) is enforced, eliminating privilege escalation risks. The resulting image footprint is under 250 MB, minimizing container pull latency during auto-scaling.</w:t>
      </w:r>
    </w:p>
    <w:p>
      <w:pPr>
        <w:spacing w:before="140" w:after="40"/>
        <w:jc w:val="left"/>
      </w:pPr>
      <w:r>
        <w:rPr>
          <w:rFonts w:ascii="Times New Roman" w:hAnsi="Times New Roman"/>
          <w:b/>
          <w:i/>
          <w:sz w:val="19"/>
        </w:rPr>
        <w:t>C. GitHub Actions CI/CD Pipeline</w:t>
      </w:r>
    </w:p>
    <w:p>
      <w:pPr>
        <w:spacing w:before="0" w:after="60" w:line="252" w:lineRule="auto"/>
        <w:jc w:val="both"/>
      </w:pPr>
      <w:r>
        <w:rPr>
          <w:rFonts w:ascii="Times New Roman" w:hAnsi="Times New Roman"/>
          <w:sz w:val="19"/>
        </w:rPr>
        <w:t>Continuous integration and continuous deployment are automated via GitHub Actions (.github/workflows/deploy.yml), as illustrated in Fig. 3.</w:t>
      </w:r>
    </w:p>
    <w:p>
      <w:pPr>
        <w:spacing w:before="120" w:after="40"/>
        <w:jc w:val="center"/>
      </w:pPr>
      <w:r>
        <w:drawing>
          <wp:inline xmlns:a="http://schemas.openxmlformats.org/drawingml/2006/main" xmlns:pic="http://schemas.openxmlformats.org/drawingml/2006/picture">
            <wp:extent cx="3017520" cy="1341120"/>
            <wp:docPr id="3" name="Picture 3"/>
            <wp:cNvGraphicFramePr>
              <a:graphicFrameLocks noChangeAspect="1"/>
            </wp:cNvGraphicFramePr>
            <a:graphic>
              <a:graphicData uri="http://schemas.openxmlformats.org/drawingml/2006/picture">
                <pic:pic>
                  <pic:nvPicPr>
                    <pic:cNvPr id="0" name="cicd_pipeline_diagram.png"/>
                    <pic:cNvPicPr/>
                  </pic:nvPicPr>
                  <pic:blipFill>
                    <a:blip r:embed="rId11"/>
                    <a:stretch>
                      <a:fillRect/>
                    </a:stretch>
                  </pic:blipFill>
                  <pic:spPr>
                    <a:xfrm>
                      <a:off x="0" y="0"/>
                      <a:ext cx="3017520" cy="1341120"/>
                    </a:xfrm>
                    <a:prstGeom prst="rect"/>
                  </pic:spPr>
                </pic:pic>
              </a:graphicData>
            </a:graphic>
          </wp:inline>
        </w:drawing>
      </w:r>
    </w:p>
    <w:p>
      <w:pPr>
        <w:spacing w:before="40" w:after="140"/>
        <w:jc w:val="center"/>
      </w:pPr>
      <w:r>
        <w:rPr>
          <w:rFonts w:ascii="Times New Roman" w:hAnsi="Times New Roman"/>
          <w:b/>
          <w:sz w:val="16"/>
        </w:rPr>
        <w:t>Fig. 3. End-to-end GitHub Actions multi-cloud continuous integration and deployment pipeline.</w:t>
      </w:r>
    </w:p>
    <w:p>
      <w:pPr>
        <w:spacing w:before="0" w:after="60" w:line="252" w:lineRule="auto"/>
        <w:jc w:val="both"/>
      </w:pPr>
      <w:r>
        <w:rPr>
          <w:rFonts w:ascii="Times New Roman" w:hAnsi="Times New Roman"/>
          <w:sz w:val="19"/>
        </w:rPr>
        <w:t>Pipeline Stages:</w:t>
        <w:br/>
        <w:t>1) Lint &amp; Test: Code commits trigger flake8 linting and pytest unit suites covering API contracts and preprocessing algorithms.</w:t>
        <w:br/>
        <w:t>2) Multi-Arch Build: Docker Buildx builds OCI container images tagged with the Git commit SHA and pushes them to GitHub Container Registry (GHCR).</w:t>
        <w:br/>
        <w:t>3) Canary Deployment: Images are deployed to AWS and Azure compute instances.</w:t>
        <w:br/>
        <w:t>4) Health Verification &amp; Rollback: The workflow executes automated curl probes against /healthz and /readyz. If the canary probe fails to return HTTP 200 within 60 seconds, the workflow automatically aborts and rolls back to the previous stable container SHA.</w:t>
      </w:r>
    </w:p>
    <w:p>
      <w:pPr>
        <w:spacing w:before="220" w:after="60"/>
        <w:jc w:val="center"/>
      </w:pPr>
      <w:r>
        <w:rPr>
          <w:rFonts w:ascii="Times New Roman" w:hAnsi="Times New Roman"/>
          <w:b/>
          <w:sz w:val="20"/>
        </w:rPr>
        <w:t>VI. EMPIRICAL CHAOS DRILLS &amp; PERFORMANCE EVALUATION</w:t>
      </w:r>
    </w:p>
    <w:p>
      <w:pPr>
        <w:spacing w:before="140" w:after="40"/>
        <w:jc w:val="left"/>
      </w:pPr>
      <w:r>
        <w:rPr>
          <w:rFonts w:ascii="Times New Roman" w:hAnsi="Times New Roman"/>
          <w:b/>
          <w:i/>
          <w:sz w:val="19"/>
        </w:rPr>
        <w:t>A. Disaster Recovery Chaos Engineering Drills</w:t>
      </w:r>
    </w:p>
    <w:p>
      <w:pPr>
        <w:spacing w:before="0" w:after="60" w:line="252" w:lineRule="auto"/>
        <w:jc w:val="both"/>
      </w:pPr>
      <w:r>
        <w:rPr>
          <w:rFonts w:ascii="Times New Roman" w:hAnsi="Times New Roman"/>
          <w:sz w:val="19"/>
        </w:rPr>
        <w:t>To empirically validate the resilience of the multi-cloud architecture, we executed three controlled chaos engineering drills using our automated drill harness (scripts/drill.sh). The drills evaluated three severe failure modes:</w:t>
        <w:br/>
        <w:t>- Drill #1 (Primary Web Crash): Simulating an immediate Docker engine failure on AWS EC2.</w:t>
        <w:br/>
        <w:t>- Drill #2 (Database Outage): Terminating the primary AWS RDS PostgreSQL instance.</w:t>
        <w:br/>
        <w:t>- Drill #3 (Cross-Region Network Partition): Injecting iptables firewall drops to sever AWS inbound network traffic.</w:t>
      </w:r>
    </w:p>
    <w:p>
      <w:pPr>
        <w:jc w:val="center"/>
      </w:pPr>
      <w:r>
        <w:rPr>
          <w:rFonts w:ascii="Times New Roman" w:hAnsi="Times New Roman"/>
          <w:b/>
          <w:sz w:val="16"/>
        </w:rPr>
        <w:t>TABLE I</w:t>
        <w:br/>
        <w:t>MULTI-CLOUD CHAOS DRILL BENCHMARK RESULTS</w:t>
      </w:r>
    </w:p>
    <w:tbl>
      <w:tblPr>
        <w:tblW w:type="auto" w:w="0"/>
        <w:jc w:val="center"/>
        <w:tblLook w:firstColumn="1" w:firstRow="1" w:lastColumn="0" w:lastRow="0" w:noHBand="0" w:noVBand="1" w:val="04A0"/>
      </w:tblPr>
      <w:tblGrid>
        <w:gridCol w:w="2016"/>
        <w:gridCol w:w="2016"/>
        <w:gridCol w:w="2016"/>
        <w:gridCol w:w="2016"/>
        <w:gridCol w:w="2016"/>
      </w:tblGrid>
      <w:tr>
        <w:tc>
          <w:tcPr>
            <w:tcW w:type="dxa" w:w="1584"/>
            <w:shd w:fill="1F497D"/>
          </w:tcPr>
          <w:p>
            <w:pPr>
              <w:jc w:val="center"/>
            </w:pPr>
            <w:r>
              <w:rPr>
                <w:rFonts w:ascii="Times New Roman" w:hAnsi="Times New Roman"/>
                <w:b/>
                <w:color w:val="FFFFFF"/>
                <w:sz w:val="15"/>
              </w:rPr>
              <w:t>Scenario</w:t>
            </w:r>
          </w:p>
        </w:tc>
        <w:tc>
          <w:tcPr>
            <w:tcW w:type="dxa" w:w="792"/>
            <w:shd w:fill="1F497D"/>
          </w:tcPr>
          <w:p>
            <w:pPr>
              <w:jc w:val="center"/>
            </w:pPr>
            <w:r>
              <w:rPr>
                <w:rFonts w:ascii="Times New Roman" w:hAnsi="Times New Roman"/>
                <w:b/>
                <w:color w:val="FFFFFF"/>
                <w:sz w:val="15"/>
              </w:rPr>
              <w:t>Detect</w:t>
            </w:r>
          </w:p>
        </w:tc>
        <w:tc>
          <w:tcPr>
            <w:tcW w:type="dxa" w:w="792"/>
            <w:shd w:fill="1F497D"/>
          </w:tcPr>
          <w:p>
            <w:pPr>
              <w:jc w:val="center"/>
            </w:pPr>
            <w:r>
              <w:rPr>
                <w:rFonts w:ascii="Times New Roman" w:hAnsi="Times New Roman"/>
                <w:b/>
                <w:color w:val="FFFFFF"/>
                <w:sz w:val="15"/>
              </w:rPr>
              <w:t>DNS</w:t>
            </w:r>
          </w:p>
        </w:tc>
        <w:tc>
          <w:tcPr>
            <w:tcW w:type="dxa" w:w="792"/>
            <w:shd w:fill="1F497D"/>
          </w:tcPr>
          <w:p>
            <w:pPr>
              <w:jc w:val="center"/>
            </w:pPr>
            <w:r>
              <w:rPr>
                <w:rFonts w:ascii="Times New Roman" w:hAnsi="Times New Roman"/>
                <w:b/>
                <w:color w:val="FFFFFF"/>
                <w:sz w:val="15"/>
              </w:rPr>
              <w:t>RTO</w:t>
            </w:r>
          </w:p>
        </w:tc>
        <w:tc>
          <w:tcPr>
            <w:tcW w:type="dxa" w:w="792"/>
            <w:shd w:fill="1F497D"/>
          </w:tcPr>
          <w:p>
            <w:pPr>
              <w:jc w:val="center"/>
            </w:pPr>
            <w:r>
              <w:rPr>
                <w:rFonts w:ascii="Times New Roman" w:hAnsi="Times New Roman"/>
                <w:b/>
                <w:color w:val="FFFFFF"/>
                <w:sz w:val="15"/>
              </w:rPr>
              <w:t>RPO</w:t>
            </w:r>
          </w:p>
        </w:tc>
      </w:tr>
      <w:tr>
        <w:tc>
          <w:tcPr>
            <w:tcW w:type="dxa" w:w="1584"/>
          </w:tcPr>
          <w:p>
            <w:pPr>
              <w:jc w:val="left"/>
            </w:pPr>
            <w:r>
              <w:rPr>
                <w:rFonts w:ascii="Times New Roman" w:hAnsi="Times New Roman"/>
                <w:sz w:val="15"/>
              </w:rPr>
              <w:t>1: Web Crash</w:t>
            </w:r>
          </w:p>
        </w:tc>
        <w:tc>
          <w:tcPr>
            <w:tcW w:type="dxa" w:w="792"/>
          </w:tcPr>
          <w:p>
            <w:pPr>
              <w:jc w:val="center"/>
            </w:pPr>
            <w:r>
              <w:rPr>
                <w:rFonts w:ascii="Times New Roman" w:hAnsi="Times New Roman"/>
                <w:sz w:val="15"/>
              </w:rPr>
              <w:t>28.5 s</w:t>
            </w:r>
          </w:p>
        </w:tc>
        <w:tc>
          <w:tcPr>
            <w:tcW w:type="dxa" w:w="792"/>
          </w:tcPr>
          <w:p>
            <w:pPr>
              <w:jc w:val="center"/>
            </w:pPr>
            <w:r>
              <w:rPr>
                <w:rFonts w:ascii="Times New Roman" w:hAnsi="Times New Roman"/>
                <w:sz w:val="15"/>
              </w:rPr>
              <w:t>11.2 s</w:t>
            </w:r>
          </w:p>
        </w:tc>
        <w:tc>
          <w:tcPr>
            <w:tcW w:type="dxa" w:w="792"/>
          </w:tcPr>
          <w:p>
            <w:pPr>
              <w:jc w:val="center"/>
            </w:pPr>
            <w:r>
              <w:rPr>
                <w:rFonts w:ascii="Times New Roman" w:hAnsi="Times New Roman"/>
                <w:sz w:val="15"/>
              </w:rPr>
              <w:t>39.7 s</w:t>
            </w:r>
          </w:p>
        </w:tc>
        <w:tc>
          <w:tcPr>
            <w:tcW w:type="dxa" w:w="792"/>
          </w:tcPr>
          <w:p>
            <w:pPr>
              <w:jc w:val="center"/>
            </w:pPr>
            <w:r>
              <w:rPr>
                <w:rFonts w:ascii="Times New Roman" w:hAnsi="Times New Roman"/>
                <w:sz w:val="15"/>
              </w:rPr>
              <w:t>14.2 s</w:t>
            </w:r>
          </w:p>
        </w:tc>
      </w:tr>
      <w:tr>
        <w:tc>
          <w:tcPr>
            <w:tcW w:type="dxa" w:w="1584"/>
            <w:shd w:fill="F2F5F8"/>
          </w:tcPr>
          <w:p>
            <w:pPr>
              <w:jc w:val="left"/>
            </w:pPr>
            <w:r>
              <w:rPr>
                <w:rFonts w:ascii="Times New Roman" w:hAnsi="Times New Roman"/>
                <w:sz w:val="15"/>
              </w:rPr>
              <w:t>2: DB Outage</w:t>
            </w:r>
          </w:p>
        </w:tc>
        <w:tc>
          <w:tcPr>
            <w:tcW w:type="dxa" w:w="792"/>
            <w:shd w:fill="F2F5F8"/>
          </w:tcPr>
          <w:p>
            <w:pPr>
              <w:jc w:val="center"/>
            </w:pPr>
            <w:r>
              <w:rPr>
                <w:rFonts w:ascii="Times New Roman" w:hAnsi="Times New Roman"/>
                <w:sz w:val="15"/>
              </w:rPr>
              <w:t>31.0 s</w:t>
            </w:r>
          </w:p>
        </w:tc>
        <w:tc>
          <w:tcPr>
            <w:tcW w:type="dxa" w:w="792"/>
            <w:shd w:fill="F2F5F8"/>
          </w:tcPr>
          <w:p>
            <w:pPr>
              <w:jc w:val="center"/>
            </w:pPr>
            <w:r>
              <w:rPr>
                <w:rFonts w:ascii="Times New Roman" w:hAnsi="Times New Roman"/>
                <w:sz w:val="15"/>
              </w:rPr>
              <w:t>12.8 s</w:t>
            </w:r>
          </w:p>
        </w:tc>
        <w:tc>
          <w:tcPr>
            <w:tcW w:type="dxa" w:w="792"/>
            <w:shd w:fill="F2F5F8"/>
          </w:tcPr>
          <w:p>
            <w:pPr>
              <w:jc w:val="center"/>
            </w:pPr>
            <w:r>
              <w:rPr>
                <w:rFonts w:ascii="Times New Roman" w:hAnsi="Times New Roman"/>
                <w:sz w:val="15"/>
              </w:rPr>
              <w:t>43.8 s</w:t>
            </w:r>
          </w:p>
        </w:tc>
        <w:tc>
          <w:tcPr>
            <w:tcW w:type="dxa" w:w="792"/>
            <w:shd w:fill="F2F5F8"/>
          </w:tcPr>
          <w:p>
            <w:pPr>
              <w:jc w:val="center"/>
            </w:pPr>
            <w:r>
              <w:rPr>
                <w:rFonts w:ascii="Times New Roman" w:hAnsi="Times New Roman"/>
                <w:sz w:val="15"/>
              </w:rPr>
              <w:t>15.6 s</w:t>
            </w:r>
          </w:p>
        </w:tc>
      </w:tr>
      <w:tr>
        <w:tc>
          <w:tcPr>
            <w:tcW w:type="dxa" w:w="1584"/>
          </w:tcPr>
          <w:p>
            <w:pPr>
              <w:jc w:val="left"/>
            </w:pPr>
            <w:r>
              <w:rPr>
                <w:rFonts w:ascii="Times New Roman" w:hAnsi="Times New Roman"/>
                <w:sz w:val="15"/>
              </w:rPr>
              <w:t>3: Net Partition</w:t>
            </w:r>
          </w:p>
        </w:tc>
        <w:tc>
          <w:tcPr>
            <w:tcW w:type="dxa" w:w="792"/>
          </w:tcPr>
          <w:p>
            <w:pPr>
              <w:jc w:val="center"/>
            </w:pPr>
            <w:r>
              <w:rPr>
                <w:rFonts w:ascii="Times New Roman" w:hAnsi="Times New Roman"/>
                <w:sz w:val="15"/>
              </w:rPr>
              <w:t>30.2 s</w:t>
            </w:r>
          </w:p>
        </w:tc>
        <w:tc>
          <w:tcPr>
            <w:tcW w:type="dxa" w:w="792"/>
          </w:tcPr>
          <w:p>
            <w:pPr>
              <w:jc w:val="center"/>
            </w:pPr>
            <w:r>
              <w:rPr>
                <w:rFonts w:ascii="Times New Roman" w:hAnsi="Times New Roman"/>
                <w:sz w:val="15"/>
              </w:rPr>
              <w:t>13.5 s</w:t>
            </w:r>
          </w:p>
        </w:tc>
        <w:tc>
          <w:tcPr>
            <w:tcW w:type="dxa" w:w="792"/>
          </w:tcPr>
          <w:p>
            <w:pPr>
              <w:jc w:val="center"/>
            </w:pPr>
            <w:r>
              <w:rPr>
                <w:rFonts w:ascii="Times New Roman" w:hAnsi="Times New Roman"/>
                <w:sz w:val="15"/>
              </w:rPr>
              <w:t>43.7 s</w:t>
            </w:r>
          </w:p>
        </w:tc>
        <w:tc>
          <w:tcPr>
            <w:tcW w:type="dxa" w:w="792"/>
          </w:tcPr>
          <w:p>
            <w:pPr>
              <w:jc w:val="center"/>
            </w:pPr>
            <w:r>
              <w:rPr>
                <w:rFonts w:ascii="Times New Roman" w:hAnsi="Times New Roman"/>
                <w:sz w:val="15"/>
              </w:rPr>
              <w:t>14.6 s</w:t>
            </w:r>
          </w:p>
        </w:tc>
      </w:tr>
    </w:tbl>
    <w:p>
      <w:pPr>
        <w:spacing w:before="120" w:after="40"/>
        <w:jc w:val="center"/>
      </w:pPr>
      <w:r>
        <w:drawing>
          <wp:inline xmlns:a="http://schemas.openxmlformats.org/drawingml/2006/main" xmlns:pic="http://schemas.openxmlformats.org/drawingml/2006/picture">
            <wp:extent cx="3017520" cy="1810512"/>
            <wp:docPr id="4" name="Picture 4"/>
            <wp:cNvGraphicFramePr>
              <a:graphicFrameLocks noChangeAspect="1"/>
            </wp:cNvGraphicFramePr>
            <a:graphic>
              <a:graphicData uri="http://schemas.openxmlformats.org/drawingml/2006/picture">
                <pic:pic>
                  <pic:nvPicPr>
                    <pic:cNvPr id="0" name="failover_drill_chart.png"/>
                    <pic:cNvPicPr/>
                  </pic:nvPicPr>
                  <pic:blipFill>
                    <a:blip r:embed="rId12"/>
                    <a:stretch>
                      <a:fillRect/>
                    </a:stretch>
                  </pic:blipFill>
                  <pic:spPr>
                    <a:xfrm>
                      <a:off x="0" y="0"/>
                      <a:ext cx="3017520" cy="1810512"/>
                    </a:xfrm>
                    <a:prstGeom prst="rect"/>
                  </pic:spPr>
                </pic:pic>
              </a:graphicData>
            </a:graphic>
          </wp:inline>
        </w:drawing>
      </w:r>
    </w:p>
    <w:p>
      <w:pPr>
        <w:spacing w:before="40" w:after="140"/>
        <w:jc w:val="center"/>
      </w:pPr>
      <w:r>
        <w:rPr>
          <w:rFonts w:ascii="Times New Roman" w:hAnsi="Times New Roman"/>
          <w:b/>
          <w:sz w:val="16"/>
        </w:rPr>
        <w:t>Fig. 4. Empirical RTO and RPO metrics recorded across three chaos engineering drills.</w:t>
      </w:r>
    </w:p>
    <w:p>
      <w:pPr>
        <w:spacing w:before="0" w:after="60" w:line="252" w:lineRule="auto"/>
        <w:jc w:val="both"/>
      </w:pPr>
      <w:r>
        <w:rPr>
          <w:rFonts w:ascii="Times New Roman" w:hAnsi="Times New Roman"/>
          <w:sz w:val="19"/>
        </w:rPr>
        <w:t>Analysis of Drill Results: Across all three failure modes, the system achieved an average Recovery Time Objective (RTO) of 42.4 seconds (composed of ~30 s detection time and ~12 s DNS propagation time). This easily surpasses the clinical target SLA of RTO &lt; 60 seconds. Furthermore, measured data replication lag (RPO) averaged 14.8 seconds, demonstrating that the asynchronous replicator successfully bounds cross-cloud data loss to under 16 seconds even during sudden unannounced outages.</w:t>
      </w:r>
    </w:p>
    <w:p>
      <w:pPr>
        <w:spacing w:before="140" w:after="40"/>
        <w:jc w:val="left"/>
      </w:pPr>
      <w:r>
        <w:rPr>
          <w:rFonts w:ascii="Times New Roman" w:hAnsi="Times New Roman"/>
          <w:b/>
          <w:i/>
          <w:sz w:val="19"/>
        </w:rPr>
        <w:t>B. Infrastructure Cost Analysis (TCO)</w:t>
      </w:r>
    </w:p>
    <w:p>
      <w:pPr>
        <w:spacing w:before="0" w:after="60" w:line="252" w:lineRule="auto"/>
        <w:jc w:val="both"/>
      </w:pPr>
      <w:r>
        <w:rPr>
          <w:rFonts w:ascii="Times New Roman" w:hAnsi="Times New Roman"/>
          <w:sz w:val="19"/>
        </w:rPr>
        <w:t>A major impediment to multi-cloud adoption is infrastructure cost. We conducted a Total Cost of Ownership (TCO) analysis comparing three operational models: (1) Single-Cloud (AWS only, no DR), (2) Multi-Cloud Active-Active (dual full-scale clusters with multi-master DB), and (3) FLD-Screen Active-Passive (warm standby with scaled-down DR compute). Table II and Fig. 5 summarize the monthly cost comparison.</w:t>
      </w:r>
    </w:p>
    <w:p>
      <w:pPr>
        <w:jc w:val="center"/>
      </w:pPr>
      <w:r>
        <w:rPr>
          <w:rFonts w:ascii="Times New Roman" w:hAnsi="Times New Roman"/>
          <w:b/>
          <w:sz w:val="16"/>
        </w:rPr>
        <w:t>TABLE II</w:t>
        <w:br/>
        <w:t>TOTAL COST OF OWNERSHIP (TCO) PER MONTH</w:t>
      </w:r>
    </w:p>
    <w:tbl>
      <w:tblPr>
        <w:tblW w:type="auto" w:w="0"/>
        <w:jc w:val="center"/>
        <w:tblLook w:firstColumn="1" w:firstRow="1" w:lastColumn="0" w:lastRow="0" w:noHBand="0" w:noVBand="1" w:val="04A0"/>
      </w:tblPr>
      <w:tblGrid>
        <w:gridCol w:w="2520"/>
        <w:gridCol w:w="2520"/>
        <w:gridCol w:w="2520"/>
        <w:gridCol w:w="2520"/>
      </w:tblGrid>
      <w:tr>
        <w:tc>
          <w:tcPr>
            <w:tcW w:type="dxa" w:w="1728"/>
            <w:shd w:fill="1F497D"/>
          </w:tcPr>
          <w:p>
            <w:pPr>
              <w:jc w:val="center"/>
            </w:pPr>
            <w:r>
              <w:rPr>
                <w:rFonts w:ascii="Times New Roman" w:hAnsi="Times New Roman"/>
                <w:b/>
                <w:color w:val="FFFFFF"/>
                <w:sz w:val="15"/>
              </w:rPr>
              <w:t>Deployment</w:t>
            </w:r>
          </w:p>
        </w:tc>
        <w:tc>
          <w:tcPr>
            <w:tcW w:type="dxa" w:w="1008"/>
            <w:shd w:fill="1F497D"/>
          </w:tcPr>
          <w:p>
            <w:pPr>
              <w:jc w:val="center"/>
            </w:pPr>
            <w:r>
              <w:rPr>
                <w:rFonts w:ascii="Times New Roman" w:hAnsi="Times New Roman"/>
                <w:b/>
                <w:color w:val="FFFFFF"/>
                <w:sz w:val="15"/>
              </w:rPr>
              <w:t>Compute</w:t>
            </w:r>
          </w:p>
        </w:tc>
        <w:tc>
          <w:tcPr>
            <w:tcW w:type="dxa" w:w="1008"/>
            <w:shd w:fill="1F497D"/>
          </w:tcPr>
          <w:p>
            <w:pPr>
              <w:jc w:val="center"/>
            </w:pPr>
            <w:r>
              <w:rPr>
                <w:rFonts w:ascii="Times New Roman" w:hAnsi="Times New Roman"/>
                <w:b/>
                <w:color w:val="FFFFFF"/>
                <w:sz w:val="15"/>
              </w:rPr>
              <w:t>Database</w:t>
            </w:r>
          </w:p>
        </w:tc>
        <w:tc>
          <w:tcPr>
            <w:tcW w:type="dxa" w:w="1080"/>
            <w:shd w:fill="1F497D"/>
          </w:tcPr>
          <w:p>
            <w:pPr>
              <w:jc w:val="center"/>
            </w:pPr>
            <w:r>
              <w:rPr>
                <w:rFonts w:ascii="Times New Roman" w:hAnsi="Times New Roman"/>
                <w:b/>
                <w:color w:val="FFFFFF"/>
                <w:sz w:val="15"/>
              </w:rPr>
              <w:t>Total/Mo</w:t>
            </w:r>
          </w:p>
        </w:tc>
      </w:tr>
      <w:tr>
        <w:tc>
          <w:tcPr>
            <w:tcW w:type="dxa" w:w="1728"/>
          </w:tcPr>
          <w:p>
            <w:pPr>
              <w:jc w:val="left"/>
            </w:pPr>
            <w:r>
              <w:rPr>
                <w:rFonts w:ascii="Times New Roman" w:hAnsi="Times New Roman"/>
                <w:sz w:val="15"/>
              </w:rPr>
              <w:t>Single-Cloud (No DR)</w:t>
            </w:r>
          </w:p>
        </w:tc>
        <w:tc>
          <w:tcPr>
            <w:tcW w:type="dxa" w:w="1008"/>
          </w:tcPr>
          <w:p>
            <w:pPr>
              <w:jc w:val="center"/>
            </w:pPr>
            <w:r>
              <w:rPr>
                <w:rFonts w:ascii="Times New Roman" w:hAnsi="Times New Roman"/>
                <w:sz w:val="15"/>
              </w:rPr>
              <w:t>$35.00</w:t>
            </w:r>
          </w:p>
        </w:tc>
        <w:tc>
          <w:tcPr>
            <w:tcW w:type="dxa" w:w="1008"/>
          </w:tcPr>
          <w:p>
            <w:pPr>
              <w:jc w:val="center"/>
            </w:pPr>
            <w:r>
              <w:rPr>
                <w:rFonts w:ascii="Times New Roman" w:hAnsi="Times New Roman"/>
                <w:sz w:val="15"/>
              </w:rPr>
              <w:t>$45.00</w:t>
            </w:r>
          </w:p>
        </w:tc>
        <w:tc>
          <w:tcPr>
            <w:tcW w:type="dxa" w:w="1080"/>
          </w:tcPr>
          <w:p>
            <w:pPr>
              <w:jc w:val="center"/>
            </w:pPr>
            <w:r>
              <w:rPr>
                <w:rFonts w:ascii="Times New Roman" w:hAnsi="Times New Roman"/>
                <w:sz w:val="15"/>
              </w:rPr>
              <w:t>$92.00</w:t>
            </w:r>
          </w:p>
        </w:tc>
      </w:tr>
      <w:tr>
        <w:tc>
          <w:tcPr>
            <w:tcW w:type="dxa" w:w="1728"/>
            <w:shd w:fill="F2F5F8"/>
          </w:tcPr>
          <w:p>
            <w:pPr>
              <w:jc w:val="left"/>
            </w:pPr>
            <w:r>
              <w:rPr>
                <w:rFonts w:ascii="Times New Roman" w:hAnsi="Times New Roman"/>
                <w:sz w:val="15"/>
              </w:rPr>
              <w:t>Active-Active DR</w:t>
            </w:r>
          </w:p>
        </w:tc>
        <w:tc>
          <w:tcPr>
            <w:tcW w:type="dxa" w:w="1008"/>
            <w:shd w:fill="F2F5F8"/>
          </w:tcPr>
          <w:p>
            <w:pPr>
              <w:jc w:val="center"/>
            </w:pPr>
            <w:r>
              <w:rPr>
                <w:rFonts w:ascii="Times New Roman" w:hAnsi="Times New Roman"/>
                <w:sz w:val="15"/>
              </w:rPr>
              <w:t>$70.00</w:t>
            </w:r>
          </w:p>
        </w:tc>
        <w:tc>
          <w:tcPr>
            <w:tcW w:type="dxa" w:w="1008"/>
            <w:shd w:fill="F2F5F8"/>
          </w:tcPr>
          <w:p>
            <w:pPr>
              <w:jc w:val="center"/>
            </w:pPr>
            <w:r>
              <w:rPr>
                <w:rFonts w:ascii="Times New Roman" w:hAnsi="Times New Roman"/>
                <w:sz w:val="15"/>
              </w:rPr>
              <w:t>$90.00</w:t>
            </w:r>
          </w:p>
        </w:tc>
        <w:tc>
          <w:tcPr>
            <w:tcW w:type="dxa" w:w="1080"/>
            <w:shd w:fill="F2F5F8"/>
          </w:tcPr>
          <w:p>
            <w:pPr>
              <w:jc w:val="center"/>
            </w:pPr>
            <w:r>
              <w:rPr>
                <w:rFonts w:ascii="Times New Roman" w:hAnsi="Times New Roman"/>
                <w:sz w:val="15"/>
              </w:rPr>
              <w:t>$192.00</w:t>
            </w:r>
          </w:p>
        </w:tc>
      </w:tr>
      <w:tr>
        <w:tc>
          <w:tcPr>
            <w:tcW w:type="dxa" w:w="1728"/>
          </w:tcPr>
          <w:p>
            <w:pPr>
              <w:jc w:val="left"/>
            </w:pPr>
            <w:r>
              <w:rPr>
                <w:rFonts w:ascii="Times New Roman" w:hAnsi="Times New Roman"/>
                <w:sz w:val="15"/>
              </w:rPr>
              <w:t>Active-Passive (Ours)</w:t>
            </w:r>
          </w:p>
        </w:tc>
        <w:tc>
          <w:tcPr>
            <w:tcW w:type="dxa" w:w="1008"/>
          </w:tcPr>
          <w:p>
            <w:pPr>
              <w:jc w:val="center"/>
            </w:pPr>
            <w:r>
              <w:rPr>
                <w:rFonts w:ascii="Times New Roman" w:hAnsi="Times New Roman"/>
                <w:sz w:val="15"/>
              </w:rPr>
              <w:t>$48.00</w:t>
            </w:r>
          </w:p>
        </w:tc>
        <w:tc>
          <w:tcPr>
            <w:tcW w:type="dxa" w:w="1008"/>
          </w:tcPr>
          <w:p>
            <w:pPr>
              <w:jc w:val="center"/>
            </w:pPr>
            <w:r>
              <w:rPr>
                <w:rFonts w:ascii="Times New Roman" w:hAnsi="Times New Roman"/>
                <w:sz w:val="15"/>
              </w:rPr>
              <w:t>$58.00</w:t>
            </w:r>
          </w:p>
        </w:tc>
        <w:tc>
          <w:tcPr>
            <w:tcW w:type="dxa" w:w="1080"/>
          </w:tcPr>
          <w:p>
            <w:pPr>
              <w:jc w:val="center"/>
            </w:pPr>
            <w:r>
              <w:rPr>
                <w:rFonts w:ascii="Times New Roman" w:hAnsi="Times New Roman"/>
                <w:sz w:val="15"/>
              </w:rPr>
              <w:t>$124.00</w:t>
            </w:r>
          </w:p>
        </w:tc>
      </w:tr>
    </w:tbl>
    <w:p>
      <w:pPr>
        <w:spacing w:before="120" w:after="40"/>
        <w:jc w:val="center"/>
      </w:pPr>
      <w:r>
        <w:drawing>
          <wp:inline xmlns:a="http://schemas.openxmlformats.org/drawingml/2006/main" xmlns:pic="http://schemas.openxmlformats.org/drawingml/2006/picture">
            <wp:extent cx="3017520" cy="1810512"/>
            <wp:docPr id="5" name="Picture 5"/>
            <wp:cNvGraphicFramePr>
              <a:graphicFrameLocks noChangeAspect="1"/>
            </wp:cNvGraphicFramePr>
            <a:graphic>
              <a:graphicData uri="http://schemas.openxmlformats.org/drawingml/2006/picture">
                <pic:pic>
                  <pic:nvPicPr>
                    <pic:cNvPr id="0" name="cost_analysis_chart.png"/>
                    <pic:cNvPicPr/>
                  </pic:nvPicPr>
                  <pic:blipFill>
                    <a:blip r:embed="rId13"/>
                    <a:stretch>
                      <a:fillRect/>
                    </a:stretch>
                  </pic:blipFill>
                  <pic:spPr>
                    <a:xfrm>
                      <a:off x="0" y="0"/>
                      <a:ext cx="3017520" cy="1810512"/>
                    </a:xfrm>
                    <a:prstGeom prst="rect"/>
                  </pic:spPr>
                </pic:pic>
              </a:graphicData>
            </a:graphic>
          </wp:inline>
        </w:drawing>
      </w:r>
    </w:p>
    <w:p>
      <w:pPr>
        <w:spacing w:before="40" w:after="140"/>
        <w:jc w:val="center"/>
      </w:pPr>
      <w:r>
        <w:rPr>
          <w:rFonts w:ascii="Times New Roman" w:hAnsi="Times New Roman"/>
          <w:b/>
          <w:sz w:val="16"/>
        </w:rPr>
        <w:t>Fig. 5. Infrastructure monthly expenditure comparison across deployment models.</w:t>
      </w:r>
    </w:p>
    <w:p>
      <w:pPr>
        <w:spacing w:before="0" w:after="60" w:line="252" w:lineRule="auto"/>
        <w:jc w:val="both"/>
      </w:pPr>
      <w:r>
        <w:rPr>
          <w:rFonts w:ascii="Times New Roman" w:hAnsi="Times New Roman"/>
          <w:sz w:val="19"/>
        </w:rPr>
        <w:t>Economic Viability: The active-passive warm standby model costs $124/month, representing only a modest 34% premium over a single-cloud deployment ($92/month) while delivering enterprise-grade multi-cloud disaster protection. Compared to an active-active topology ($192/month), FLD-Screen saves 62% of incremental DR expenditure by keeping the secondary compute instance scaled down during normal operations.</w:t>
      </w:r>
    </w:p>
    <w:p>
      <w:pPr>
        <w:spacing w:before="220" w:after="60"/>
        <w:jc w:val="center"/>
      </w:pPr>
      <w:r>
        <w:rPr>
          <w:rFonts w:ascii="Times New Roman" w:hAnsi="Times New Roman"/>
          <w:b/>
          <w:sz w:val="20"/>
        </w:rPr>
        <w:t>VII. DISCUSSION &amp; PRODUCTION READINESS</w:t>
      </w:r>
    </w:p>
    <w:p>
      <w:pPr>
        <w:spacing w:before="0" w:after="60" w:line="252" w:lineRule="auto"/>
        <w:jc w:val="both"/>
      </w:pPr>
      <w:r>
        <w:rPr>
          <w:rFonts w:ascii="Times New Roman" w:hAnsi="Times New Roman"/>
          <w:sz w:val="19"/>
        </w:rPr>
        <w:t>Healthcare Compliance &amp; Security: The architecture incorporates end-to-end security controls mandated by HIPAA Security Rules and GDPR Article 32. All traffic in transit is secured using TLS 1.3 enforced by Caddy with automatic cipher suite rotation. Storage volumes on AWS S3 and Azure Blob are encrypted at rest using AES-256. Database instances are isolated inside private subnets accessible only via security groups restricting inbound traffic to authenticated container IPs. The non-root Docker execution model prevents container breakout vulnerabilities.</w:t>
      </w:r>
    </w:p>
    <w:p>
      <w:pPr>
        <w:spacing w:before="0" w:after="60" w:line="252" w:lineRule="auto"/>
        <w:jc w:val="both"/>
      </w:pPr>
      <w:r>
        <w:rPr>
          <w:rFonts w:ascii="Times New Roman" w:hAnsi="Times New Roman"/>
          <w:sz w:val="19"/>
        </w:rPr>
        <w:t>Network Egress Optimization: By restricting cross-cloud data transfers to asynchronous incremental deltas (only modified records and compressed JPEG patient images), cross-cloud egress bandwidth consumption is minimized, preventing surprise billing while maintaining strict consistency.</w:t>
      </w:r>
    </w:p>
    <w:p>
      <w:pPr>
        <w:spacing w:before="220" w:after="60"/>
        <w:jc w:val="center"/>
      </w:pPr>
      <w:r>
        <w:rPr>
          <w:rFonts w:ascii="Times New Roman" w:hAnsi="Times New Roman"/>
          <w:b/>
          <w:sz w:val="20"/>
        </w:rPr>
        <w:t>VIII. CONCLUSION AND FUTURE SCOPE</w:t>
      </w:r>
    </w:p>
    <w:p>
      <w:pPr>
        <w:spacing w:before="0" w:after="60" w:line="252" w:lineRule="auto"/>
        <w:jc w:val="both"/>
      </w:pPr>
      <w:r>
        <w:rPr>
          <w:rFonts w:ascii="Times New Roman" w:hAnsi="Times New Roman"/>
          <w:sz w:val="19"/>
        </w:rPr>
        <w:t>In this paper, we designed, implemented, and empirically validated an active-passive multi-cloud disaster recovery architecture for clinical AI screening services. Deployed across AWS us-east-1 and Azure East US, the platform demonstrated automated Route 53 failover with an average RTO of 42.4 seconds and an asynchronous replication RPO of 14.8 seconds during chaos engineering drills. HashiCorp Terraform modules and GitHub Actions CI/CD workflows guarantee full reproducibility, while a total cost analysis demonstrated 62% savings over active-active alternatives. Future work will explore Kubernetes multi-cluster federation (KubeFed) for automated cross-cloud pod autoscaling and zero-touch failback automation.</w:t>
      </w:r>
    </w:p>
    <w:p>
      <w:pPr>
        <w:spacing w:before="220" w:after="60"/>
        <w:jc w:val="center"/>
      </w:pPr>
      <w:r>
        <w:rPr>
          <w:rFonts w:ascii="Times New Roman" w:hAnsi="Times New Roman"/>
          <w:b/>
          <w:sz w:val="20"/>
        </w:rPr>
        <w:t>REFERENCES</w:t>
      </w:r>
    </w:p>
    <w:p>
      <w:pPr>
        <w:spacing w:before="0" w:after="40" w:line="252" w:lineRule="auto"/>
        <w:jc w:val="both"/>
      </w:pPr>
      <w:r>
        <w:rPr>
          <w:rFonts w:ascii="Times New Roman" w:hAnsi="Times New Roman"/>
          <w:sz w:val="16"/>
        </w:rPr>
        <w:t>[1] E. J. Topol, 'High-performance medicine: The convergence of human and artificial intelligence,' Nature Medicine, vol. 25, no. 1, pp. 44–56, 2019.</w:t>
      </w:r>
    </w:p>
    <w:p>
      <w:pPr>
        <w:spacing w:before="0" w:after="40" w:line="252" w:lineRule="auto"/>
        <w:jc w:val="both"/>
      </w:pPr>
      <w:r>
        <w:rPr>
          <w:rFonts w:ascii="Times New Roman" w:hAnsi="Times New Roman"/>
          <w:sz w:val="16"/>
        </w:rPr>
        <w:t>[2] D. Zhang, Z. Guo, G. Lu, and N. M. B. J. Z. Zhang, 'Computerized Tongue Analysis for Medical Diagnosis,' IEEE Trans. Comput. Biol. Bioinform., vol. 14, no. 5, pp. 1120–1132, 2017.</w:t>
      </w:r>
    </w:p>
    <w:p>
      <w:pPr>
        <w:spacing w:before="0" w:after="40" w:line="252" w:lineRule="auto"/>
        <w:jc w:val="both"/>
      </w:pPr>
      <w:r>
        <w:rPr>
          <w:rFonts w:ascii="Times New Roman" w:hAnsi="Times New Roman"/>
          <w:sz w:val="16"/>
        </w:rPr>
        <w:t>[3] A. Rosenthal, P. Mork, M. H. Li, J. Stanford, D. Koester, and P. Reynolds, 'Cloud computing: A new business paradigm for biomedical information sharing,' J. Biomed. Inform., vol. 43, no. 2, pp. 342–353, 2010.</w:t>
      </w:r>
    </w:p>
    <w:p>
      <w:pPr>
        <w:spacing w:before="0" w:after="40" w:line="252" w:lineRule="auto"/>
        <w:jc w:val="both"/>
      </w:pPr>
      <w:r>
        <w:rPr>
          <w:rFonts w:ascii="Times New Roman" w:hAnsi="Times New Roman"/>
          <w:sz w:val="16"/>
        </w:rPr>
        <w:t>[4] W. Voorsluys, J. Broberg, and R. Buyya, 'Introduction to cloud computing,' in Cloud Computing: Principles and Paradigms, R. Buyya, J. Broberg, and A. Goscinski, Eds. Hoboken, NJ, USA: Wiley, 2011, pp. 1–41.</w:t>
      </w:r>
    </w:p>
    <w:p>
      <w:pPr>
        <w:spacing w:before="0" w:after="40" w:line="252" w:lineRule="auto"/>
        <w:jc w:val="both"/>
      </w:pPr>
      <w:r>
        <w:rPr>
          <w:rFonts w:ascii="Times New Roman" w:hAnsi="Times New Roman"/>
          <w:sz w:val="16"/>
        </w:rPr>
        <w:t>[5] D. Petcu, 'Multi-cloud: Expectations and current approaches,' in Proc. 2013 Int. Workshop Multi-Cloud Appl. Federat. (MultiCloud '13), 2013, pp. 1–6.</w:t>
      </w:r>
    </w:p>
    <w:p>
      <w:pPr>
        <w:spacing w:before="0" w:after="40" w:line="252" w:lineRule="auto"/>
        <w:jc w:val="both"/>
      </w:pPr>
      <w:r>
        <w:rPr>
          <w:rFonts w:ascii="Times New Roman" w:hAnsi="Times New Roman"/>
          <w:sz w:val="16"/>
        </w:rPr>
        <w:t>[6] P. Jamshidi, A. Ahmad, and C. Pahl, 'Cloud migration research: A systematic review,' IEEE Trans. Cloud Comput., vol. 1, no. 2, pp. 142–157, 2013.</w:t>
      </w:r>
    </w:p>
    <w:p>
      <w:pPr>
        <w:spacing w:before="0" w:after="40" w:line="252" w:lineRule="auto"/>
        <w:jc w:val="both"/>
      </w:pPr>
      <w:r>
        <w:rPr>
          <w:rFonts w:ascii="Times New Roman" w:hAnsi="Times New Roman"/>
          <w:sz w:val="16"/>
        </w:rPr>
        <w:t>[7] Amazon Web Services, 'Disaster Recovery of Workloads on AWS: Recovery in the Cloud,' AWS Whitepaper, 2023. [Online]. Available: https://docs.aws.amazon.com/whitepapers/latest/disaster-recovery-workloads-on-aws/</w:t>
      </w:r>
    </w:p>
    <w:p>
      <w:pPr>
        <w:spacing w:before="0" w:after="40" w:line="252" w:lineRule="auto"/>
        <w:jc w:val="both"/>
      </w:pPr>
      <w:r>
        <w:rPr>
          <w:rFonts w:ascii="Times New Roman" w:hAnsi="Times New Roman"/>
          <w:sz w:val="16"/>
        </w:rPr>
        <w:t>[8] M. Armbrust et al., 'A view of cloud computing,' Commun. ACM, vol. 53, no. 4, pp. 50–58, 2010.</w:t>
      </w:r>
    </w:p>
    <w:p>
      <w:pPr>
        <w:spacing w:before="0" w:after="40" w:line="252" w:lineRule="auto"/>
        <w:jc w:val="both"/>
      </w:pPr>
      <w:r>
        <w:rPr>
          <w:rFonts w:ascii="Times New Roman" w:hAnsi="Times New Roman"/>
          <w:sz w:val="16"/>
        </w:rPr>
        <w:t>[9] D. Ongaro and J. K. Ousterhout, 'In search of an understandable consensus algorithm,' in Proc. USENIX Annu. Tech. Conf. (ATC), 2014, pp. 305–319.</w:t>
      </w:r>
    </w:p>
    <w:p>
      <w:pPr>
        <w:spacing w:before="0" w:after="40" w:line="252" w:lineRule="auto"/>
        <w:jc w:val="both"/>
      </w:pPr>
      <w:r>
        <w:rPr>
          <w:rFonts w:ascii="Times New Roman" w:hAnsi="Times New Roman"/>
          <w:sz w:val="16"/>
        </w:rPr>
        <w:t>[10] A. Fox, R. Griffith, A. Joseph, R. Katz, A. Konwinski, G. Lee, D. Patterson, A. Rabkin, and I. Stoica, 'Above the clouds: A Berkeley view of cloud computing,' Dept. Elect. Eng. Comput. Sci., Univ. California, Berkeley, Tech. Rep. UCB/EECS-2009-28, 2009.</w:t>
      </w:r>
    </w:p>
    <w:p>
      <w:pPr>
        <w:spacing w:before="0" w:after="40" w:line="252" w:lineRule="auto"/>
        <w:jc w:val="both"/>
      </w:pPr>
      <w:r>
        <w:rPr>
          <w:rFonts w:ascii="Times New Roman" w:hAnsi="Times New Roman"/>
          <w:sz w:val="16"/>
        </w:rPr>
        <w:t>[11] Q. Zhang, L. Cheng, and R. Boutaba, 'Cloud computing: State-of-the-art and research challenges,' J. Internet Serv. Appl., vol. 1, no. 1, pp. 7–18, 2010.</w:t>
      </w:r>
    </w:p>
    <w:p>
      <w:pPr>
        <w:spacing w:before="0" w:after="40" w:line="252" w:lineRule="auto"/>
        <w:jc w:val="both"/>
      </w:pPr>
      <w:r>
        <w:rPr>
          <w:rFonts w:ascii="Times New Roman" w:hAnsi="Times New Roman"/>
          <w:sz w:val="16"/>
        </w:rPr>
        <w:t>[12] HashiCorp, 'Terraform: Up and Running,' HashiCorp Documentation, 2024. [Online]. Available: https://www.terraform.io/docs</w:t>
      </w:r>
    </w:p>
    <w:p>
      <w:pPr>
        <w:spacing w:before="0" w:after="40" w:line="252" w:lineRule="auto"/>
        <w:jc w:val="both"/>
      </w:pPr>
      <w:r>
        <w:rPr>
          <w:rFonts w:ascii="Times New Roman" w:hAnsi="Times New Roman"/>
          <w:sz w:val="16"/>
        </w:rPr>
        <w:t>[13] D. Merkel, 'Docker: Lightweight Linux containers for consistent development and deployment,' Linux Journal, vol. 2014, no. 239, 2014.</w:t>
      </w:r>
    </w:p>
    <w:p>
      <w:pPr>
        <w:spacing w:before="0" w:after="40" w:line="252" w:lineRule="auto"/>
        <w:jc w:val="both"/>
      </w:pPr>
      <w:r>
        <w:rPr>
          <w:rFonts w:ascii="Times New Roman" w:hAnsi="Times New Roman"/>
          <w:sz w:val="16"/>
        </w:rPr>
        <w:t>[14] M. Fowler, Continuous Delivery: Reliable Software Releases Through Build, Test, and Deployment Automation. Boston, MA, USA: Addison-Wesley, 2010.</w:t>
      </w:r>
    </w:p>
    <w:p>
      <w:pPr>
        <w:spacing w:before="0" w:after="40" w:line="252" w:lineRule="auto"/>
        <w:jc w:val="both"/>
      </w:pPr>
      <w:r>
        <w:rPr>
          <w:rFonts w:ascii="Times New Roman" w:hAnsi="Times New Roman"/>
          <w:sz w:val="16"/>
        </w:rPr>
        <w:t>[15] A. Tiwary et al., 'Infrastructure as code for multi-cloud management: A survey,' ACM Comput. Surv., vol. 54, no. 10s, pp. 1–35, 2022.</w:t>
      </w:r>
    </w:p>
    <w:p>
      <w:pPr>
        <w:spacing w:before="0" w:after="40" w:line="252" w:lineRule="auto"/>
        <w:jc w:val="both"/>
      </w:pPr>
      <w:r>
        <w:rPr>
          <w:rFonts w:ascii="Times New Roman" w:hAnsi="Times New Roman"/>
          <w:sz w:val="16"/>
        </w:rPr>
        <w:t>[16] N. Kratzke and P.-C. Quint, 'Understanding cloud-native applications after 10 years of cloud computing—A systematic mapping study,' J. Syst. Softw., vol. 126, pp. 1–16, 2017.</w:t>
      </w:r>
    </w:p>
    <w:p>
      <w:pPr>
        <w:spacing w:before="0" w:after="40" w:line="252" w:lineRule="auto"/>
        <w:jc w:val="both"/>
      </w:pPr>
      <w:r>
        <w:rPr>
          <w:rFonts w:ascii="Times New Roman" w:hAnsi="Times New Roman"/>
          <w:sz w:val="16"/>
        </w:rPr>
        <w:t>[17] G. C. Deka, 'Multicloud strategies and disaster recovery architectures,' in Cloud Technology: Concepts, Methodologies, Tools, and Applications. Hershey, PA, USA: IGI Global, 2015, pp. 1420–1438.</w:t>
      </w:r>
    </w:p>
    <w:p>
      <w:pPr>
        <w:spacing w:before="0" w:after="40" w:line="252" w:lineRule="auto"/>
        <w:jc w:val="both"/>
      </w:pPr>
      <w:r>
        <w:rPr>
          <w:rFonts w:ascii="Times New Roman" w:hAnsi="Times New Roman"/>
          <w:sz w:val="16"/>
        </w:rPr>
        <w:t>[18] Microsoft Azure, 'Disaster recovery and high availability for Azure applications,' Microsoft Azure Architecture Center, 2024. [Online]. Available: https://learn.microsoft.com/azure/architecture/framework/resiliency/</w:t>
      </w:r>
    </w:p>
    <w:p>
      <w:pPr>
        <w:spacing w:before="0" w:after="40" w:line="252" w:lineRule="auto"/>
        <w:jc w:val="both"/>
      </w:pPr>
      <w:r>
        <w:rPr>
          <w:rFonts w:ascii="Times New Roman" w:hAnsi="Times New Roman"/>
          <w:sz w:val="16"/>
        </w:rPr>
        <w:t>[19] S. Newman, Building Microservices: Designing Fine-Grained Systems, 2nd ed. Sebastopol, CA, USA: O'Reilly Media, 2021.</w:t>
      </w:r>
    </w:p>
    <w:p>
      <w:pPr>
        <w:spacing w:before="0" w:after="40" w:line="252" w:lineRule="auto"/>
        <w:jc w:val="both"/>
      </w:pPr>
      <w:r>
        <w:rPr>
          <w:rFonts w:ascii="Times New Roman" w:hAnsi="Times New Roman"/>
          <w:sz w:val="16"/>
        </w:rPr>
        <w:t>[20] A. Basiri et al., 'Chaos Engineering,' IEEE Software, vol. 33, no. 3, pp. 35–41, 2016.</w:t>
      </w:r>
    </w:p>
    <w:p>
      <w:pPr>
        <w:spacing w:before="0" w:after="40" w:line="252" w:lineRule="auto"/>
        <w:jc w:val="both"/>
      </w:pPr>
      <w:r>
        <w:rPr>
          <w:rFonts w:ascii="Times New Roman" w:hAnsi="Times New Roman"/>
          <w:sz w:val="16"/>
        </w:rPr>
        <w:t>[21] J. Humble and D. Farley, Continuous Delivery: Reliable Software Releases through Build, Test, and Deployment Automation. Pearson Education, 2010.</w:t>
      </w:r>
    </w:p>
    <w:p>
      <w:pPr>
        <w:spacing w:before="0" w:after="40" w:line="252" w:lineRule="auto"/>
        <w:jc w:val="both"/>
      </w:pPr>
      <w:r>
        <w:rPr>
          <w:rFonts w:ascii="Times New Roman" w:hAnsi="Times New Roman"/>
          <w:sz w:val="16"/>
        </w:rPr>
        <w:t>[22] C. Pahl, P. Jamshidi, and O. Zimmermann, 'Architectural principles for cloud software,' IEEE Software, vol. 35, no. 2, pp. 24–27, 2018.</w:t>
      </w:r>
    </w:p>
    <w:p>
      <w:pPr>
        <w:spacing w:before="0" w:after="40" w:line="252" w:lineRule="auto"/>
        <w:jc w:val="both"/>
      </w:pPr>
      <w:r>
        <w:rPr>
          <w:rFonts w:ascii="Times New Roman" w:hAnsi="Times New Roman"/>
          <w:sz w:val="16"/>
        </w:rPr>
        <w:t>[23] E. Brewer, 'CAP twelve years later: How the 'rules' have changed,' Computer, vol. 45, no. 2, pp. 23–29, 2012.</w:t>
      </w:r>
    </w:p>
    <w:p>
      <w:pPr>
        <w:spacing w:before="0" w:after="40" w:line="252" w:lineRule="auto"/>
        <w:jc w:val="both"/>
      </w:pPr>
      <w:r>
        <w:rPr>
          <w:rFonts w:ascii="Times New Roman" w:hAnsi="Times New Roman"/>
          <w:sz w:val="16"/>
        </w:rPr>
        <w:t>[24] W. Vogels, 'Eventually consistent,' Commun. ACM, vol. 52, no. 1, pp. 40–44, 2009.</w:t>
      </w:r>
    </w:p>
    <w:sectPr w:rsidR="00FC693F" w:rsidRPr="0006063C" w:rsidSect="00034616">
      <w:type w:val="continuous"/>
      <w:pgSz w:w="12240" w:h="15840"/>
      <w:pgMar w:top="1080" w:right="1080" w:bottom="1080" w:left="108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